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44"/>
          <w:szCs w:val="52"/>
          <w:shd w:val="clear" w:color="auto" w:fill="FFFFFF"/>
        </w:rPr>
      </w:pPr>
      <w:bookmarkStart w:id="12" w:name="_GoBack"/>
      <w:bookmarkEnd w:id="12"/>
    </w:p>
    <w:p>
      <w:pPr>
        <w:jc w:val="center"/>
        <w:rPr>
          <w:rFonts w:asciiTheme="majorEastAsia" w:hAnsiTheme="majorEastAsia" w:eastAsiaTheme="majorEastAsia"/>
          <w:b/>
          <w:bCs/>
          <w:sz w:val="44"/>
          <w:szCs w:val="52"/>
          <w:shd w:val="clear" w:color="auto" w:fill="FFFFFF"/>
        </w:rPr>
      </w:pPr>
      <w:r>
        <w:rPr>
          <w:rFonts w:hint="eastAsia" w:asciiTheme="majorEastAsia" w:hAnsiTheme="majorEastAsia" w:eastAsiaTheme="majorEastAsia"/>
          <w:b/>
          <w:bCs/>
          <w:sz w:val="44"/>
          <w:szCs w:val="52"/>
          <w:shd w:val="clear" w:color="auto" w:fill="FFFFFF"/>
        </w:rPr>
        <w:t>学习</w:t>
      </w:r>
      <w:r>
        <w:rPr>
          <w:rFonts w:asciiTheme="majorEastAsia" w:hAnsiTheme="majorEastAsia" w:eastAsiaTheme="majorEastAsia"/>
          <w:b/>
          <w:bCs/>
          <w:sz w:val="44"/>
          <w:szCs w:val="52"/>
          <w:shd w:val="clear" w:color="auto" w:fill="FFFFFF"/>
        </w:rPr>
        <w:t>参考材料（</w:t>
      </w:r>
      <w:r>
        <w:rPr>
          <w:rFonts w:hint="eastAsia" w:asciiTheme="majorEastAsia" w:hAnsiTheme="majorEastAsia" w:eastAsiaTheme="majorEastAsia"/>
          <w:b/>
          <w:bCs/>
          <w:sz w:val="44"/>
          <w:szCs w:val="52"/>
          <w:shd w:val="clear" w:color="auto" w:fill="FFFFFF"/>
        </w:rPr>
        <w:t>一</w:t>
      </w:r>
      <w:r>
        <w:rPr>
          <w:rFonts w:asciiTheme="majorEastAsia" w:hAnsiTheme="majorEastAsia" w:eastAsiaTheme="majorEastAsia"/>
          <w:b/>
          <w:bCs/>
          <w:sz w:val="44"/>
          <w:szCs w:val="52"/>
          <w:shd w:val="clear" w:color="auto" w:fill="FFFFFF"/>
        </w:rPr>
        <w:t>）</w:t>
      </w:r>
    </w:p>
    <w:sdt>
      <w:sdtPr>
        <w:rPr>
          <w:rFonts w:asciiTheme="minorHAnsi" w:hAnsiTheme="minorHAnsi" w:eastAsiaTheme="minorEastAsia" w:cstheme="minorBidi"/>
          <w:bCs w:val="0"/>
          <w:color w:val="auto"/>
          <w:kern w:val="2"/>
          <w:sz w:val="21"/>
          <w:szCs w:val="24"/>
          <w:lang w:val="zh-CN"/>
        </w:rPr>
        <w:id w:val="1482043394"/>
        <w:docPartObj>
          <w:docPartGallery w:val="Table of Contents"/>
          <w:docPartUnique/>
        </w:docPartObj>
      </w:sdtPr>
      <w:sdtEndPr>
        <w:rPr>
          <w:rFonts w:asciiTheme="majorEastAsia" w:hAnsiTheme="majorEastAsia" w:eastAsiaTheme="majorEastAsia" w:cstheme="minorBidi"/>
          <w:b/>
          <w:bCs w:val="0"/>
          <w:color w:val="auto"/>
          <w:kern w:val="2"/>
          <w:sz w:val="32"/>
          <w:szCs w:val="32"/>
          <w:lang w:val="zh-CN"/>
        </w:rPr>
      </w:sdtEndPr>
      <w:sdtContent>
        <w:p>
          <w:pPr>
            <w:pStyle w:val="15"/>
            <w:ind w:firstLine="0" w:firstLineChars="0"/>
            <w:rPr>
              <w:color w:val="000000" w:themeColor="text1"/>
              <w:sz w:val="44"/>
              <w:szCs w:val="44"/>
              <w14:textFill>
                <w14:solidFill>
                  <w14:schemeClr w14:val="tx1"/>
                </w14:solidFill>
              </w14:textFill>
            </w:rPr>
          </w:pPr>
          <w:r>
            <w:rPr>
              <w:color w:val="000000" w:themeColor="text1"/>
              <w:sz w:val="44"/>
              <w:szCs w:val="44"/>
              <w:lang w:val="zh-CN"/>
              <w14:textFill>
                <w14:solidFill>
                  <w14:schemeClr w14:val="tx1"/>
                </w14:solidFill>
              </w14:textFill>
            </w:rPr>
            <w:t>目录</w:t>
          </w:r>
        </w:p>
        <w:p>
          <w:pPr>
            <w:pStyle w:val="8"/>
            <w:tabs>
              <w:tab w:val="right" w:leader="dot" w:pos="8296"/>
            </w:tabs>
            <w:rPr>
              <w:rFonts w:asciiTheme="minorEastAsia" w:hAnsiTheme="minorEastAsia"/>
              <w:sz w:val="32"/>
              <w:szCs w:val="32"/>
            </w:rPr>
          </w:pPr>
          <w:r>
            <w:rPr>
              <w:rFonts w:asciiTheme="majorEastAsia" w:hAnsiTheme="majorEastAsia" w:eastAsiaTheme="majorEastAsia"/>
              <w:sz w:val="32"/>
              <w:szCs w:val="32"/>
            </w:rPr>
            <w:fldChar w:fldCharType="begin"/>
          </w:r>
          <w:r>
            <w:rPr>
              <w:rFonts w:asciiTheme="majorEastAsia" w:hAnsiTheme="majorEastAsia" w:eastAsiaTheme="majorEastAsia"/>
              <w:sz w:val="32"/>
              <w:szCs w:val="32"/>
            </w:rPr>
            <w:instrText xml:space="preserve"> TOC \o "1-3" \h \z \u </w:instrText>
          </w:r>
          <w:r>
            <w:rPr>
              <w:rFonts w:asciiTheme="majorEastAsia" w:hAnsiTheme="majorEastAsia" w:eastAsiaTheme="majorEastAsia"/>
              <w:sz w:val="32"/>
              <w:szCs w:val="32"/>
            </w:rPr>
            <w:fldChar w:fldCharType="separate"/>
          </w:r>
          <w:r>
            <w:fldChar w:fldCharType="begin"/>
          </w:r>
          <w:r>
            <w:instrText xml:space="preserve"> HYPERLINK \l "_Toc114412790" </w:instrText>
          </w:r>
          <w:r>
            <w:fldChar w:fldCharType="separate"/>
          </w:r>
          <w:r>
            <w:rPr>
              <w:rStyle w:val="14"/>
              <w:rFonts w:asciiTheme="minorEastAsia" w:hAnsiTheme="minorEastAsia"/>
              <w:sz w:val="32"/>
              <w:szCs w:val="32"/>
            </w:rPr>
            <w:t>习近平给“中国好人”李培生胡晓春回信强调 积极传播真善美传递正能量 带动更多身边人向上向善</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_Toc114412790 \h </w:instrText>
          </w:r>
          <w:r>
            <w:rPr>
              <w:rFonts w:asciiTheme="minorEastAsia" w:hAnsiTheme="minorEastAsia"/>
              <w:sz w:val="32"/>
              <w:szCs w:val="32"/>
            </w:rPr>
            <w:fldChar w:fldCharType="separate"/>
          </w:r>
          <w:r>
            <w:rPr>
              <w:rFonts w:asciiTheme="minorEastAsia" w:hAnsiTheme="minorEastAsia"/>
              <w:sz w:val="32"/>
              <w:szCs w:val="32"/>
            </w:rPr>
            <w:t>1</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"_Toc114412791" </w:instrText>
          </w:r>
          <w:r>
            <w:fldChar w:fldCharType="separate"/>
          </w:r>
          <w:r>
            <w:rPr>
              <w:rStyle w:val="14"/>
              <w:rFonts w:asciiTheme="minorEastAsia" w:hAnsiTheme="minorEastAsia"/>
              <w:sz w:val="32"/>
              <w:szCs w:val="32"/>
            </w:rPr>
            <w:t>青平：学习“中国好人” 积极传播真善美</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_Toc114412791 \h </w:instrText>
          </w:r>
          <w:r>
            <w:rPr>
              <w:rFonts w:asciiTheme="minorEastAsia" w:hAnsiTheme="minorEastAsia"/>
              <w:sz w:val="32"/>
              <w:szCs w:val="32"/>
            </w:rPr>
            <w:fldChar w:fldCharType="separate"/>
          </w:r>
          <w:r>
            <w:rPr>
              <w:rFonts w:asciiTheme="minorEastAsia" w:hAnsiTheme="minorEastAsia"/>
              <w:sz w:val="32"/>
              <w:szCs w:val="32"/>
            </w:rPr>
            <w:t>2</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"_Toc114412792" </w:instrText>
          </w:r>
          <w:r>
            <w:fldChar w:fldCharType="separate"/>
          </w:r>
          <w:r>
            <w:rPr>
              <w:rStyle w:val="14"/>
              <w:rFonts w:asciiTheme="minorEastAsia" w:hAnsiTheme="minorEastAsia"/>
              <w:sz w:val="32"/>
              <w:szCs w:val="32"/>
            </w:rPr>
            <w:t>学习宣传贯彻习近平总书记给“中国好人”李培生胡晓春重要回信精神座谈会在京召开</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_Toc114412792 \h </w:instrText>
          </w:r>
          <w:r>
            <w:rPr>
              <w:rFonts w:asciiTheme="minorEastAsia" w:hAnsiTheme="minorEastAsia"/>
              <w:sz w:val="32"/>
              <w:szCs w:val="32"/>
            </w:rPr>
            <w:fldChar w:fldCharType="separate"/>
          </w:r>
          <w:r>
            <w:rPr>
              <w:rFonts w:asciiTheme="minorEastAsia" w:hAnsiTheme="minorEastAsia"/>
              <w:sz w:val="32"/>
              <w:szCs w:val="32"/>
            </w:rPr>
            <w:t>3</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"_Toc114412793" </w:instrText>
          </w:r>
          <w:r>
            <w:fldChar w:fldCharType="separate"/>
          </w:r>
          <w:r>
            <w:rPr>
              <w:rStyle w:val="14"/>
              <w:rFonts w:asciiTheme="minorEastAsia" w:hAnsiTheme="minorEastAsia"/>
              <w:sz w:val="32"/>
              <w:szCs w:val="32"/>
            </w:rPr>
            <w:t>收到总书记回信的黄山守松人胡晓春，有怎样的故事？</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_Toc114412793 \h </w:instrText>
          </w:r>
          <w:r>
            <w:rPr>
              <w:rFonts w:asciiTheme="minorEastAsia" w:hAnsiTheme="minorEastAsia"/>
              <w:sz w:val="32"/>
              <w:szCs w:val="32"/>
            </w:rPr>
            <w:fldChar w:fldCharType="separate"/>
          </w:r>
          <w:r>
            <w:rPr>
              <w:rFonts w:asciiTheme="minorEastAsia" w:hAnsiTheme="minorEastAsia"/>
              <w:sz w:val="32"/>
              <w:szCs w:val="32"/>
            </w:rPr>
            <w:t>5</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"_Toc114412794" </w:instrText>
          </w:r>
          <w:r>
            <w:fldChar w:fldCharType="separate"/>
          </w:r>
          <w:r>
            <w:rPr>
              <w:rStyle w:val="14"/>
              <w:rFonts w:asciiTheme="minorEastAsia" w:hAnsiTheme="minorEastAsia" w:cstheme="majorEastAsia"/>
              <w:sz w:val="32"/>
              <w:szCs w:val="32"/>
            </w:rPr>
            <w:t>闽山闽水物华新——习近平福建足迹</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_Toc114412794 \h </w:instrText>
          </w:r>
          <w:r>
            <w:rPr>
              <w:rFonts w:asciiTheme="minorEastAsia" w:hAnsiTheme="minorEastAsia"/>
              <w:sz w:val="32"/>
              <w:szCs w:val="32"/>
            </w:rPr>
            <w:fldChar w:fldCharType="separate"/>
          </w:r>
          <w:r>
            <w:rPr>
              <w:rFonts w:asciiTheme="minorEastAsia" w:hAnsiTheme="minorEastAsia"/>
              <w:sz w:val="32"/>
              <w:szCs w:val="32"/>
            </w:rPr>
            <w:t>7</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rFonts w:asciiTheme="minorEastAsia" w:hAnsiTheme="minorEastAsia"/>
              <w:sz w:val="32"/>
              <w:szCs w:val="32"/>
            </w:rPr>
          </w:pPr>
          <w:r>
            <w:fldChar w:fldCharType="begin"/>
          </w:r>
          <w:r>
            <w:instrText xml:space="preserve"> HYPERLINK \l "_Toc114412795" </w:instrText>
          </w:r>
          <w:r>
            <w:fldChar w:fldCharType="separate"/>
          </w:r>
          <w:r>
            <w:rPr>
              <w:rStyle w:val="14"/>
              <w:rFonts w:asciiTheme="minorEastAsia" w:hAnsiTheme="minorEastAsia" w:cstheme="majorEastAsia"/>
              <w:sz w:val="32"/>
              <w:szCs w:val="32"/>
            </w:rPr>
            <w:t>在不断创新中彰显真理力量——学习《习近平谈治国理政》第四卷</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_Toc114412795 \h </w:instrText>
          </w:r>
          <w:r>
            <w:rPr>
              <w:rFonts w:asciiTheme="minorEastAsia" w:hAnsiTheme="minorEastAsia"/>
              <w:sz w:val="32"/>
              <w:szCs w:val="32"/>
            </w:rPr>
            <w:fldChar w:fldCharType="separate"/>
          </w:r>
          <w:r>
            <w:rPr>
              <w:rFonts w:asciiTheme="minorEastAsia" w:hAnsiTheme="minorEastAsia"/>
              <w:sz w:val="32"/>
              <w:szCs w:val="32"/>
            </w:rPr>
            <w:t>13</w:t>
          </w:r>
          <w:r>
            <w:rPr>
              <w:rFonts w:asciiTheme="minorEastAsia" w:hAnsiTheme="minorEastAsia"/>
              <w:sz w:val="32"/>
              <w:szCs w:val="32"/>
            </w:rPr>
            <w:fldChar w:fldCharType="end"/>
          </w:r>
          <w:r>
            <w:rPr>
              <w:rFonts w:asciiTheme="minorEastAsia" w:hAnsiTheme="minorEastAsia"/>
              <w:sz w:val="32"/>
              <w:szCs w:val="32"/>
            </w:rPr>
            <w:fldChar w:fldCharType="end"/>
          </w:r>
        </w:p>
        <w:p>
          <w:pPr>
            <w:pStyle w:val="8"/>
            <w:tabs>
              <w:tab w:val="right" w:leader="dot" w:pos="8296"/>
            </w:tabs>
            <w:rPr>
              <w:szCs w:val="22"/>
            </w:rPr>
          </w:pPr>
          <w:r>
            <w:fldChar w:fldCharType="begin"/>
          </w:r>
          <w:r>
            <w:instrText xml:space="preserve"> HYPERLINK \l "_Toc114412796" </w:instrText>
          </w:r>
          <w:r>
            <w:fldChar w:fldCharType="separate"/>
          </w:r>
          <w:r>
            <w:rPr>
              <w:rStyle w:val="14"/>
              <w:rFonts w:asciiTheme="minorEastAsia" w:hAnsiTheme="minorEastAsia" w:cstheme="majorEastAsia"/>
              <w:sz w:val="32"/>
              <w:szCs w:val="32"/>
            </w:rPr>
            <w:t>做好新时代经济工作的根本遵循和行动指南——学好用好《习近平经济思想学习纲要》</w:t>
          </w:r>
          <w:r>
            <w:rPr>
              <w:rFonts w:asciiTheme="minorEastAsia" w:hAnsiTheme="minorEastAsia"/>
              <w:sz w:val="32"/>
              <w:szCs w:val="32"/>
            </w:rPr>
            <w:tab/>
          </w:r>
          <w:r>
            <w:rPr>
              <w:rFonts w:asciiTheme="minorEastAsia" w:hAnsiTheme="minorEastAsia"/>
              <w:sz w:val="32"/>
              <w:szCs w:val="32"/>
            </w:rPr>
            <w:fldChar w:fldCharType="begin"/>
          </w:r>
          <w:r>
            <w:rPr>
              <w:rFonts w:asciiTheme="minorEastAsia" w:hAnsiTheme="minorEastAsia"/>
              <w:sz w:val="32"/>
              <w:szCs w:val="32"/>
            </w:rPr>
            <w:instrText xml:space="preserve"> PAGEREF _Toc114412796 \h </w:instrText>
          </w:r>
          <w:r>
            <w:rPr>
              <w:rFonts w:asciiTheme="minorEastAsia" w:hAnsiTheme="minorEastAsia"/>
              <w:sz w:val="32"/>
              <w:szCs w:val="32"/>
            </w:rPr>
            <w:fldChar w:fldCharType="separate"/>
          </w:r>
          <w:r>
            <w:rPr>
              <w:rFonts w:asciiTheme="minorEastAsia" w:hAnsiTheme="minorEastAsia"/>
              <w:sz w:val="32"/>
              <w:szCs w:val="32"/>
            </w:rPr>
            <w:t>16</w:t>
          </w:r>
          <w:r>
            <w:rPr>
              <w:rFonts w:asciiTheme="minorEastAsia" w:hAnsiTheme="minorEastAsia"/>
              <w:sz w:val="32"/>
              <w:szCs w:val="32"/>
            </w:rPr>
            <w:fldChar w:fldCharType="end"/>
          </w:r>
          <w:r>
            <w:rPr>
              <w:rFonts w:asciiTheme="minorEastAsia" w:hAnsiTheme="minorEastAsia"/>
              <w:sz w:val="32"/>
              <w:szCs w:val="32"/>
            </w:rPr>
            <w:fldChar w:fldCharType="end"/>
          </w:r>
        </w:p>
        <w:p>
          <w:pPr>
            <w:rPr>
              <w:rFonts w:asciiTheme="majorEastAsia" w:hAnsiTheme="majorEastAsia" w:eastAsiaTheme="majorEastAsia"/>
              <w:sz w:val="32"/>
              <w:szCs w:val="32"/>
            </w:rPr>
          </w:pPr>
          <w:r>
            <w:rPr>
              <w:rFonts w:asciiTheme="majorEastAsia" w:hAnsiTheme="majorEastAsia" w:eastAsiaTheme="majorEastAsia"/>
              <w:bCs/>
              <w:sz w:val="32"/>
              <w:szCs w:val="32"/>
              <w:lang w:val="zh-CN"/>
            </w:rPr>
            <w:fldChar w:fldCharType="end"/>
          </w:r>
        </w:p>
      </w:sdtContent>
    </w:sdt>
    <w:p>
      <w:pPr>
        <w:tabs>
          <w:tab w:val="left" w:pos="5040"/>
        </w:tabs>
      </w:pPr>
      <w:r>
        <w:tab/>
      </w:r>
    </w:p>
    <w:p>
      <w:pPr>
        <w:tabs>
          <w:tab w:val="left" w:pos="5040"/>
        </w:tabs>
        <w:sectPr>
          <w:headerReference r:id="rId3" w:type="default"/>
          <w:footerReference r:id="rId4" w:type="default"/>
          <w:pgSz w:w="11906" w:h="16838"/>
          <w:pgMar w:top="1440" w:right="1800" w:bottom="1440" w:left="1800" w:header="851" w:footer="992" w:gutter="0"/>
          <w:pgNumType w:start="0"/>
          <w:cols w:space="425" w:num="1"/>
          <w:titlePg/>
          <w:docGrid w:type="lines" w:linePitch="312" w:charSpace="0"/>
        </w:sectPr>
      </w:pPr>
      <w:r>
        <w:tab/>
      </w:r>
    </w:p>
    <w:p>
      <w:pPr>
        <w:pStyle w:val="2"/>
      </w:pPr>
      <w:bookmarkStart w:id="0" w:name="_Toc114412790"/>
      <w:bookmarkStart w:id="1" w:name="_Hlk106644152"/>
      <w:r>
        <w:rPr>
          <w:rFonts w:hint="eastAsia"/>
        </w:rPr>
        <w:t>习近平给“中国好人”李培生胡晓春回信强调 积极传播真善美传递正能量 带动更多身边人向上向善</w:t>
      </w:r>
      <w:bookmarkEnd w:id="0"/>
    </w:p>
    <w:bookmarkEnd w:id="1"/>
    <w:p>
      <w:pPr>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来源：新华网</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新华社北京8月14日电 中共中央总书记、国家主席、中央军委主席习近平8月13日给安徽黄山风景区工作人员李培生、胡晓春回信，对他们继续发挥“中国好人”榜样作用提出殷切期望。</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习近平在回信中说，你们长年在山崖间清洁环境，日复一日呵护着千年迎客松，用心用情守护美丽的黄山，充分体现了敬业奉献精神。</w:t>
      </w:r>
    </w:p>
    <w:p>
      <w:pPr>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强调，“中国好人”最可贵的地方就是在平凡工作中创造不平凡的业绩。希望你们继续发挥好榜样作用，积极传播真善美、传递正能量，带动更多身边人向上向善，弘扬社会主义核心价值观，争做社会的好公民、单位的好员工、家庭的好成员，为实现中华民族伟大复兴奉献自己的光和热。</w:t>
      </w:r>
    </w:p>
    <w:p>
      <w:pPr>
        <w:spacing w:line="420" w:lineRule="exact"/>
        <w:ind w:firstLine="480" w:firstLineChars="200"/>
        <w:jc w:val="left"/>
        <w:rPr>
          <w:rFonts w:asciiTheme="minorEastAsia" w:hAnsiTheme="minorEastAsia" w:cstheme="minorEastAsia"/>
          <w:sz w:val="24"/>
        </w:rPr>
        <w:sectPr>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sz w:val="24"/>
        </w:rPr>
        <w:t>2008年起，中央文明办组织开展网上“我推荐我评议身边好人”活动，至今已发布“中国好人榜”150期，共有16228人（组）入选“中国好人”。李培生、胡晓春在黄山风景区分别从事环卫保洁和迎客松守护工作，2012年和2021年先后入选敬业奉献类“中国好人”。近日，李培生、胡晓春给习近平总书记写信，汇报工作情况和心得体会，表达了为守护美丽黄山、建设美丽中国贡献力量的决心。</w:t>
      </w:r>
    </w:p>
    <w:p>
      <w:pPr>
        <w:pStyle w:val="2"/>
      </w:pPr>
      <w:bookmarkStart w:id="2" w:name="_Toc114412791"/>
      <w:r>
        <w:rPr>
          <w:rFonts w:hint="eastAsia"/>
        </w:rPr>
        <w:t>青平：学习“中国好人” 积极传播真善美</w:t>
      </w:r>
      <w:bookmarkEnd w:id="2"/>
    </w:p>
    <w:p>
      <w:pPr>
        <w:tabs>
          <w:tab w:val="left" w:pos="1573"/>
        </w:tabs>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来源：中国青年报</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近日，习近平总书记给“中国好人”李培生、胡晓春回信强调，“中国好人”最可贵的地方就是在平凡工作中创造不平凡的业绩。希望你们继续发挥好榜样作用，积极传播真善美、传递正能量，带动更多身边人向上向善，弘扬社会主义核心价值观。</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用行动践行“真力量”。2008年起，中央文明办组织开展网上“我推荐我评议身边好人”活动，至今已发布“中国好人榜”150期，共有16228人（组）入选“中国好人”。“中国好人”的先进事迹，展现了中华民族的传统美德，彰显了向上向善的强大力量，传递了社会正能量，引领了社会文明新风尚。李培生、胡晓春就是其中的典型代表，他们在黄山风景区分别从事环卫保洁和迎客松守护工作，2012年和2021年先后入选敬业奉献类“中国好人”。伟大源于平凡，伟大源于坚守。我们要从他们身上汲取榜样力量，用实际行动学习他们，在平凡的岗位上尽职尽责，做到平常时候看得出来、关键时刻站得出来、危难关头豁得出来，在民族复兴的伟业中为党和人民建功立业。</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用真情永葆“人间善”。此次上榜好人中，有举家捐款1000多万元、奉献家乡教育事业的海南94岁退休教师符国仲；有奋不顾身，在汹涌洪水中挽救生命的重庆花甲老人何明全、段萍友；有子承父业义务守护京杭大运河十三载、托举起17条鲜活生命的江苏“运河汉子”王大亮；有扎根基层因公殉职、自愿捐献器官的安徽“暖心书记”李俊……他们用平常心做不平常事，至爱至善，是社会文明风尚的领跑者。正是因为有着这些付出，社会才愈加让人感到温暖。面对这些不平凡的感人事迹，我们在向这些平凡的好人点赞的同时，也希望每个人都能够成为善意的撒播者和爱心的传递者，用行动让人间充满善意。</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用传承诠释“精神美”。“中国好人”是一群来自群众、扎根群众的普通人，在他们身上，传统美德与时代精神得到完美交融。资助350多名西部孩子圆大学梦的刘春荣、寒冬中抱住悬窗老人30分钟终于救下老人性命的女孩施艾彤，用柔弱双肩撑起两个家的好媳妇马爱真……评选产生“中国好人”，收获的往往不只是荣誉和表彰，也不是一朝一夕的“个人标签”，而是精神的传承与积淀。我们要崇尚好人，立足平凡，自觉践行公民基本道德规范，努力提高自己的道德修养，踏踏实实地做好每一项工作，认认真真地去做每件小事。</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人生需要信仰驱动，社会需要榜样引领，进一步增强社会崇德向善的力量，每个人都可以找准伟大事业中的立足点，让社会更文明、人民生活更美好。</w:t>
      </w:r>
    </w:p>
    <w:p>
      <w:pPr>
        <w:sectPr>
          <w:pgSz w:w="11906" w:h="16838"/>
          <w:pgMar w:top="1440" w:right="1800" w:bottom="1440" w:left="1800" w:header="851" w:footer="992" w:gutter="0"/>
          <w:cols w:space="425" w:num="1"/>
          <w:docGrid w:type="lines" w:linePitch="312" w:charSpace="0"/>
        </w:sectPr>
      </w:pPr>
    </w:p>
    <w:p>
      <w:pPr>
        <w:pStyle w:val="2"/>
      </w:pPr>
      <w:bookmarkStart w:id="3" w:name="_Toc114412792"/>
      <w:r>
        <w:rPr>
          <w:rFonts w:hint="eastAsia"/>
        </w:rPr>
        <w:t>学习宣传贯彻习近平总书记给“中国好人”李培生胡晓春重要回信精神座谈会在京召开</w:t>
      </w:r>
      <w:bookmarkEnd w:id="3"/>
    </w:p>
    <w:p>
      <w:pPr>
        <w:tabs>
          <w:tab w:val="left" w:pos="1573"/>
        </w:tabs>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来源：中国文明网</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8月25日，中央宣传部、中央文明办在京召开座谈会，深入学习习近平总书记给“中国好人”李培生、胡晓春重要回信精神，领会感悟“中国好人”最可贵的精神品质，交流探讨如何更好地发挥榜样作用，培育和弘扬社会主义核心价值观，带动更多的人争做社会的好公民、单位的好员工、家庭的好成员。中宣部分管日常工作的副部长李书磊出席会议并讲话。</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李书磊指出，习近平总书记给“中国好人”回信，礼赞普通劳动者，褒扬敬业奉献精神，充分体现了习近平总书记对精神文明建设的高度重视，对平凡英雄的关心关怀，对发挥榜样作用的深刻思考，对培育时代新人、弘扬时代新风的明确要求。习近平总书记重要回信为进一步做好精神文明建设工作指明了前进方向、提供了根本遵循。我们要认真学习宣传贯彻习近平总书记重要回信精神，深刻认识回信的重大意义、深刻内涵和实践要求，激励广大干部群众奋进新征程、建功新时代。</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会议强调，要深刻把握“中国好人”最可贵的精神品质，他们在平凡的工作中创造不平凡的业绩，生动诠释了爱党爱国的家国情怀，传承发扬了中华民族的传统美德，充分彰显了当代中国人昂扬向上的精神风貌，集中展现了矢志民族复兴的责任担当，是鲜活的价值观、有形的正能量。“中国好人”有着强大的道德感召力和高尚的人格魅力，他们贵在平凡，在日常工作生活中默默付出，平凡中见精神、平凡中见伟大；贵在力行，从身边做起、从小事做起，做的是力所能及的实事，办的是温暖他人的好事；贵在坚守，几十年如一日专心做事、潜心干事，在执着坚守中迸发出耀眼的道德光芒；贵在情真，对家人、对事业、对社会、对国家满怀朴素而深沉的爱，激励和引导更多人传播真善美、传递正能量。</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会议要求，要学习宣传好人，深入挖掘“中国好人”的“精神富矿”，让他们成为宣传报道的主题和文艺创作的主角，用群众语言、群众喜闻乐见的方式，生动鲜活地讲好“中国好人”的感人故事。要加大全媒体传播，扩大覆盖面影响力，向世界讲好新时代“中国好人”故事，以中国的道德力量提升中华文化的国际影响力。要把宣传教化与道德实践结合起来，融入文明实践、文明培育、文明创建，让学习榜样、争当好人成为人们的自觉追求。要发现和推荐更多好人，既广泛发动基层群众、广大网民踊跃推荐，扩大“中国好人”的覆盖面；又善于发现各行各业、各个领域中的好人，增强“中国好人”的代表性。</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会议强调，要充分发挥“中国好人”的示范带动和激励引领作用，用身边事教育身边人，引导人们自我完善、自我教育、自我提高。重点抓好青少年思想道德建设，激励少年儿童做好孩子、好学生。要礼遇关爱好人，在全社会形成德者有得、好人好报的鲜明导向，健全尊崇礼敬好人的激励机制，褒扬高尚道德行为，政策上给优待，社会上给地位，激发好人内心的自豪感荣誉感。</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会议要求，要继续做好网上“我推荐我评议身边好人”活动，坚持面向基层、重在网上、守正创新，办出更高质量、办出时代特色，使这项活动更加深接地气、广聚人气、充满生气。要加强组织领导，把牢价值导向，不断完善体制机制，建立健全科学评价体系，强化动态管理，确保“中国好人”叫得响、立得住，让“中国好人”始终成为社会的榜样、道德的标杆，在全社会大力营造学习好人、宣传好人、崇尚好人、争当好人的浓厚氛围。</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李培生、胡晓春等“中国好人”代表和媒体记者代表作了交流发言，安徽省委常委、宣传部部长郭强介绍了安徽省的工作情况。大家表示，要以习近平总书记重要回信精神为指引，在本职岗位上努力工作、再立新功。中宣部、中央文明办等有关单位负责同志，部分地方党委宣传部、文明办负责同志参加会议。</w:t>
      </w:r>
    </w:p>
    <w:p>
      <w:pPr>
        <w:tabs>
          <w:tab w:val="left" w:pos="1573"/>
        </w:tabs>
        <w:spacing w:line="420" w:lineRule="exact"/>
        <w:rPr>
          <w:rFonts w:asciiTheme="majorEastAsia" w:hAnsiTheme="majorEastAsia" w:eastAsiaTheme="majorEastAsia" w:cstheme="majorEastAsia"/>
          <w:b/>
          <w:bCs/>
          <w:sz w:val="28"/>
          <w:szCs w:val="28"/>
        </w:rPr>
        <w:sectPr>
          <w:pgSz w:w="11906" w:h="16838"/>
          <w:pgMar w:top="1440" w:right="1800" w:bottom="1440" w:left="1800" w:header="851" w:footer="992" w:gutter="0"/>
          <w:cols w:space="425" w:num="1"/>
          <w:docGrid w:type="lines" w:linePitch="312" w:charSpace="0"/>
        </w:sectPr>
      </w:pPr>
    </w:p>
    <w:p>
      <w:pPr>
        <w:pStyle w:val="2"/>
      </w:pPr>
      <w:bookmarkStart w:id="4" w:name="_Toc114412793"/>
      <w:r>
        <w:rPr>
          <w:rFonts w:hint="eastAsia"/>
        </w:rPr>
        <w:t>收到总书记回信的黄山守松人胡晓春，有怎样的故事？</w:t>
      </w:r>
      <w:bookmarkEnd w:id="4"/>
      <w:r>
        <w:t xml:space="preserve"> </w:t>
      </w:r>
    </w:p>
    <w:p>
      <w:pPr>
        <w:tabs>
          <w:tab w:val="left" w:pos="1573"/>
        </w:tabs>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来源：人民日报</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8月13日，中共中央总书记、国家主席、中央军委主席习近平给安徽黄山风景区工作人员李培生、胡晓春回信，对他们的敬业奉献精神给予充分肯定，对他们继续发挥“中国好人”榜样作用提出殷切期望。今年“五一”期间，本报记者曾近距离跟随采访“中国好人”胡晓春的守松工作，并以《黄山上的守松人：那山那松那人》为题进行过报道。值此之际，一起再来回顾下胡晓春和他的守松故事。</w:t>
      </w:r>
    </w:p>
    <w:p>
      <w:pPr>
        <w:tabs>
          <w:tab w:val="left" w:pos="1573"/>
        </w:tabs>
        <w:spacing w:line="420" w:lineRule="exact"/>
        <w:ind w:firstLine="482" w:firstLineChars="200"/>
        <w:jc w:val="left"/>
        <w:rPr>
          <w:rFonts w:asciiTheme="minorEastAsia" w:hAnsiTheme="minorEastAsia" w:cstheme="minorEastAsia"/>
          <w:b/>
          <w:bCs/>
          <w:sz w:val="24"/>
        </w:rPr>
      </w:pPr>
      <w:r>
        <w:rPr>
          <w:rFonts w:hint="eastAsia" w:asciiTheme="minorEastAsia" w:hAnsiTheme="minorEastAsia" w:cstheme="minorEastAsia"/>
          <w:b/>
          <w:bCs/>
          <w:sz w:val="24"/>
        </w:rPr>
        <w:t>黄山上的守松人：那山那松那人</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傍晚，沐浴着落日霞光，迎客松就像镀上了一层金边。当天来山的最后一波游客，抢在下山索道关闭前，依依不舍地在迎客松前拍下合影，惊叹声，不绝于耳。作为第19任守松人，这样的场景，胡晓春早已司空见惯。</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2006年，从部队退伍回来的胡晓春，脱下军装，穿上护林服，在黄山风景区当起了一名防火员。2010年，胡晓春成为第18任守松人徐东明的徒弟，成为一名守松人“替补”。</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翌年，29岁的胡晓春接过师父的望远镜、放大镜，正式转正“接棒”成为第19任迎客松守松人，这一守就是12年。</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为加强对迎客松的保护，早在1981年，黄山风景区就确定了专人对迎客松进行24小时的特级“护理”。迄今，在所有守松人当中，短则数月，长则数年，胡晓春虽然最年轻，但是守松年限第二长的一位。天天守着一棵树，会不会觉得枯燥、单一、乏味？“对我来说，迎客松不单单是一棵树，不是亲人却胜似亲人，守护好迎客松，就如同守护好家人一样。”并不擅言辞的胡晓春，一直把迎客松当成长辈，在他眼里，他和迎客松、黄山三者之间的亲密关系，就是“你守着山，我守着你”。从刚刚接手这份工作到如今，已经十多年过去了。山还是那座山，树还是那棵树，但胡晓春，却从当初的年轻小伙子，步入了不惑之年。守松的日子里，一年365天，胡晓春有300天要在迎客松前打卡：除了观察树皮、梢头、枝丫、冠顶之外，每天的巡检细到连松针都不放过。</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没有变化，是最好的变化。”这话听上去比较拗口，但胡晓春的理解是，只要无异常，就说明没有白白守护，迎客松长势良好，是对自己最好的回馈。从陌生到熟悉，胡晓春守松的12年里，当班每天雷打不动地2小时一次巡检，是他的工作日常，久而久之，也让自己成了半个林业专家。什么时候要注意梢头长势了？遇到大风天气该如何应对？大雨过后怎样确保土壤不流失？季节更迭又需要加强哪些方面的监测……对于这些，胡晓春早已熟记于心，讲起来也头头是道。</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我本属猴，天生就和山有着不解之缘。”每每聊起这份工作，胡晓春总是如此调侃道。甘于寂寞，但又不能只甘于寂寞。一个人、一棵树、一座山。“起初的确有换份工作的想法，甚至动过外出务工的念头。”胡晓春坦言，白天人山人海，晚上夜深人静，静到只能听到风吹动草木的声音，失落感比较大。</w:t>
      </w:r>
    </w:p>
    <w:p>
      <w:pPr>
        <w:tabs>
          <w:tab w:val="left" w:pos="1573"/>
        </w:tabs>
        <w:spacing w:line="420" w:lineRule="exact"/>
        <w:jc w:val="left"/>
        <w:rPr>
          <w:rFonts w:asciiTheme="minorEastAsia" w:hAnsiTheme="minorEastAsia" w:cstheme="minorEastAsia"/>
          <w:sz w:val="24"/>
        </w:rPr>
      </w:pPr>
      <w:r>
        <w:rPr>
          <w:rFonts w:hint="eastAsia" w:asciiTheme="minorEastAsia" w:hAnsiTheme="minorEastAsia" w:cstheme="minorEastAsia"/>
          <w:sz w:val="24"/>
        </w:rPr>
        <w:t>好在当过兵，和山里的寂寞和孤独算是打过交道，这才让他波动起伏的心绪安定了下来。如今，回过头再去想想，坚持留下来，胡晓春没有后悔过，“每个月毕竟能看到父母、见到孩子，这比什么都要值当，守护好迎客松，就是守护好绿水青山金山银山。”即便休息在家，胡晓春也牵挂着这棵树，会不自觉地打开手机上的监测系统，看看实时情况。</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因为这份工作，胡晓春2016年荣获“全国旅游系统劳动模范”称号，2019年获得“全国五一劳动奖章”；2020年11月，被评为“全国劳动模范”。在游客眼里，胡晓春是守松人；在女儿眼里，胡晓春是“山大王”。巧合的是，在他成为守松人的第二个月，女儿就降生了，自此往后，他多了一份牵挂，也多了一份寄托。</w:t>
      </w:r>
    </w:p>
    <w:p>
      <w:pPr>
        <w:tabs>
          <w:tab w:val="left" w:pos="1573"/>
        </w:tabs>
        <w:spacing w:line="420" w:lineRule="exact"/>
        <w:ind w:firstLine="480" w:firstLineChars="200"/>
        <w:jc w:val="left"/>
        <w:rPr>
          <w:rFonts w:asciiTheme="minorEastAsia" w:hAnsiTheme="minorEastAsia" w:cstheme="minorEastAsia"/>
          <w:sz w:val="24"/>
        </w:rPr>
        <w:sectPr>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sz w:val="24"/>
        </w:rPr>
        <w:t>草木会发芽，孩子会长大。眼下，正值迎客松冬芽生长的时候，过上一阵子，松花就要开了。迎客松之于胡晓春而言，就如同蔡琴的歌声里唱道：读你千遍也不厌倦，读你的感觉象春天。</w:t>
      </w:r>
    </w:p>
    <w:p>
      <w:pPr>
        <w:spacing w:line="420" w:lineRule="exact"/>
        <w:ind w:firstLine="562" w:firstLineChars="200"/>
        <w:jc w:val="center"/>
        <w:outlineLvl w:val="0"/>
        <w:rPr>
          <w:rFonts w:asciiTheme="majorEastAsia" w:hAnsiTheme="majorEastAsia" w:eastAsiaTheme="majorEastAsia" w:cstheme="majorEastAsia"/>
          <w:b/>
          <w:bCs/>
          <w:sz w:val="28"/>
          <w:szCs w:val="28"/>
        </w:rPr>
      </w:pPr>
      <w:bookmarkStart w:id="5" w:name="_Toc114412794"/>
      <w:bookmarkStart w:id="6" w:name="_Toc114069002"/>
      <w:bookmarkStart w:id="7" w:name="_Hlk114412098"/>
      <w:r>
        <w:rPr>
          <w:rFonts w:hint="eastAsia" w:asciiTheme="majorEastAsia" w:hAnsiTheme="majorEastAsia" w:eastAsiaTheme="majorEastAsia" w:cstheme="majorEastAsia"/>
          <w:b/>
          <w:bCs/>
          <w:sz w:val="28"/>
          <w:szCs w:val="28"/>
        </w:rPr>
        <w:t>闽山闽水物华新——习近平福建足迹</w:t>
      </w:r>
      <w:bookmarkEnd w:id="5"/>
      <w:bookmarkEnd w:id="6"/>
    </w:p>
    <w:bookmarkEnd w:id="7"/>
    <w:p>
      <w:pPr>
        <w:tabs>
          <w:tab w:val="left" w:pos="1573"/>
        </w:tabs>
        <w:spacing w:line="420" w:lineRule="exact"/>
        <w:jc w:val="center"/>
        <w:rPr>
          <w:rFonts w:asciiTheme="minorEastAsia" w:hAnsiTheme="minorEastAsia" w:cstheme="minorEastAsia"/>
          <w:sz w:val="24"/>
        </w:rPr>
      </w:pPr>
      <w:bookmarkStart w:id="8" w:name="_Hlk114412179"/>
      <w:r>
        <w:rPr>
          <w:rFonts w:hint="eastAsia" w:asciiTheme="minorEastAsia" w:hAnsiTheme="minorEastAsia" w:cstheme="minorEastAsia"/>
          <w:sz w:val="24"/>
        </w:rPr>
        <w:t>来源：人民日报</w:t>
      </w:r>
    </w:p>
    <w:bookmarkEnd w:id="8"/>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这里的山山水水、一草一木，我深有感情。离开福建以后，我也一直关注福建。在这里工作期间的一些思考和探索，在我后来的工作中仍在思考和深化，有些已经在全国更大范围实践了。”习近平同志曾在福建工作了17年半，开创性地提出了一系列重要理念、推进了一系列重大实践。八闽大地的山山水水和父老乡亲，总书记始终牵挂在心。</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党的十八大以来，习近平总书记对福建发展多次作出重要指示批示。2014年11月赴福建调研时，总书记为福建擘画了“建设机制活、产业优、百姓富、生态美的新福建”宏伟蓝图。2021年3月赴福建考察时，总书记要求福建“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八闽儿女牢记嘱托，大力发扬“敢为人先、爱拼会赢”精神，埋头苦干、勇毅前行，全方位推进高质量发展超越，奋力谱写全面建设社会主义现代化国家福建篇章。</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探索实践的点点滴滴，正是波澜壮阔的时代缩影。恰如习近平同志在福建工作时赋诗：“挽住云河洗天青，闽山闽水物华新。”</w:t>
      </w:r>
    </w:p>
    <w:p>
      <w:pPr>
        <w:tabs>
          <w:tab w:val="left" w:pos="1573"/>
        </w:tabs>
        <w:spacing w:line="420" w:lineRule="exact"/>
        <w:ind w:firstLine="482" w:firstLineChars="200"/>
        <w:jc w:val="left"/>
        <w:rPr>
          <w:rFonts w:asciiTheme="minorEastAsia" w:hAnsiTheme="minorEastAsia" w:cstheme="minorEastAsia"/>
          <w:b/>
          <w:bCs/>
          <w:sz w:val="24"/>
        </w:rPr>
      </w:pPr>
      <w:r>
        <w:rPr>
          <w:rFonts w:hint="eastAsia" w:asciiTheme="minorEastAsia" w:hAnsiTheme="minorEastAsia" w:cstheme="minorEastAsia"/>
          <w:b/>
          <w:bCs/>
          <w:sz w:val="24"/>
        </w:rPr>
        <w:t>机制活——向改革开放要动力</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车行三明市沙县区，窗外绿色连绵。苍翠的林海，见证着一场持续20年的深刻变革。</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习近平同志在福建工作时推动开展了集体林权制度改革。沙县，正是林改策源地之一。</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2021年3月23日，习近平总书记来到沙县农村产权交易中心考察调研。当时，高桥镇新坡村林农张祖暖正在办理林地流转手续。“总书记向我们办事群众和工作人员了解集体林地经营权流转交易、不动产登记等情况。”回忆起当时的场景，张祖暖记忆犹新。</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考察中，总书记指出，三明集体林权制度改革探索很有意义，要坚持正确改革方向，尊重群众首创精神，积极稳妥推进集体林权制度创新，探索完善生态产品价值实现机制，力争实现新的突破。</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牢记总书记嘱托，三明市2021年9月出台行动方案，推动实施林业金融机制、林票制度、林业碳票制度等8项创新，推进林改再出发。</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张祖暖顺势而为，将112亩采伐迹地与当地国有林场合作，建造“碳中和”共建示范林，林场负责全程管理，收益按股分红。“同样一亩林子，单家独户经营顶多有6到8立方米的产出，林场经营则可以提高好几倍！”张祖暖获得感满满。</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从推行专业化联营新模式、破解“单家独户怎么办”，到实施林票、碳票等林业金融创新、突破林业资源变现单一路径，三明林改向纵深推进，让很多林农像张祖暖一样享受到改革红利。2021年，三明全市林业总产值达1210亿元，带动农村居民人均可支配收入增长10.7%，其中人均涉林纯收入占可支配收入的30.6%。</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2019年3月10日，在参加十三届全国人大二次会议福建代表团审议时，习近平总书记强调：“要向改革开放要动力，最大限度释放全社会创新创业创造动能，不断增强我国在世界大变局中的影响力、竞争力。”“要发挥经济特区、自由贸易试验区、综合实验区、21世纪海上丝绸之路核心区等多区叠加优势，不断探索新路，吸引优质生产要素集中集聚，全面提升福建产业竞争力，力争在建设开放型经济新体制上走在前头。”</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贯彻总书记重要指示精神，福建用好经济特区、自贸试验区、21世纪海上丝绸之路核心区等多区叠加政策，围绕服务和融入新发展格局，推进更深层次改革、更高水平开放——</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前不久，华广生物技术（平潭）有限公司负责人夏宁发现，公司账户突然被转入10万元。原来，规模以下首次升为规模以上的工业企业，可获政府10万元奖励，企业无需申请，不用递交材料，“触发即奖”。“享受惠企政策，以前‘人找政策’，现在‘政策找人’，快速兑现，暖心！”夏宁颇有感触地说。</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归拢部门数据，申报材料政府主动收集——平潭综合实验区“免申即享、触发即奖”的新模式，用好现代信息技术，优化惠企政策落地机制。</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从优化政务服务的“一网通办”，到“一件事”方便办的集成套餐服务改革，福建把“放管服”改革与数字福建建设相结合，强化数字赋能、优化营商环境。2021年，福建省政务服务事项全程网办比例达80.4%，“一趟不用跑”比例达90.3%。</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厦门口岸联检大厅，昔日人流如织的报关窗口如今少人问津。“当年报关多个窗口、多口受理、多次申报，如今数据跑路、一个平台、一次办结，三五分钟就能完成一票报关单申报。”负责报关业务多年，厦门外代报关行有限公司审单部经理方漱玉见证着福建自贸试验区厦门片区“单一窗口”改革的迭代升级。</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从建立国际贸易“单一窗口”，到率先实施“三证合一、一照一码”登记模式，福建自贸试验区大胆试、大胆闯、自主改，着力构建与国际通行规则相衔接的制度体系和监管模式，先后推出508项创新举措，全国首创111项。</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改革开放迈出新步伐，助力福建构建国内国际双循环的重要节点、重要通道，推动更多优质要素在福建集聚，让更多产品与服务从福建走向全国、走向世界。2021年，福建实际使用外资同比增长6.1%，出口增长27.7%，出口规模首次突破1万亿元。</w:t>
      </w:r>
    </w:p>
    <w:p>
      <w:pPr>
        <w:tabs>
          <w:tab w:val="left" w:pos="1573"/>
        </w:tabs>
        <w:spacing w:line="420" w:lineRule="exact"/>
        <w:ind w:firstLine="482" w:firstLineChars="200"/>
        <w:jc w:val="left"/>
        <w:rPr>
          <w:rFonts w:asciiTheme="minorEastAsia" w:hAnsiTheme="minorEastAsia" w:cstheme="minorEastAsia"/>
          <w:b/>
          <w:bCs/>
          <w:sz w:val="24"/>
        </w:rPr>
      </w:pPr>
      <w:r>
        <w:rPr>
          <w:rFonts w:hint="eastAsia" w:asciiTheme="minorEastAsia" w:hAnsiTheme="minorEastAsia" w:cstheme="minorEastAsia"/>
          <w:b/>
          <w:bCs/>
          <w:sz w:val="24"/>
        </w:rPr>
        <w:t>产业优——在加快建设现代化经济体系上取得更大进步</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我到省里工作以后，多次到晋江做了调研，全省推进‘晋江经验’。福建省如果有若干个晋江，福建就不一样了。应该说，‘晋江经验’现在仍然有指导意义。”2019年3月，习近平总书记参加十三届全国人大二次会议福建代表团审议时指出。</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晋江市内坑镇，福建恒安家庭生活用品有限公司。“黑灯仓库”里的机器人手臂，正有条不紊地进行码垛作业。在这个容量达传统仓库4倍的立体仓库内，成品的包装、运输、发货等环节全部由智能化系统“包办”，工人们通过操控板即可对吨级原料轻松装载。</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成立37年，恒安集团心无旁骛，持续创新，从一家乡镇小厂发展成为国内最大的家庭生活用品企业之一。2021年，恒安集团实现营业收入210亿元，旗下的婴儿纸尿裤、生活用纸等主导产品的占有率在国内市场保持前列。</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晋江始终紧紧咬住实体经济不放松，着力推动制造业转型升级。20年前的晋江，产值过亿元企业只有55家，如今已达1165家。去年，晋江规模以上工业产值超过6900亿元。心无旁骛做实业，坚定不移强创新，晋江鞋服、纺织等四大传统产业继续厚植优势，去年工业产值接近5300亿元；新一代信息技术、智能制造装备等三大新兴产业也在“换挡加速”，去年工业产值超过780亿元。</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坚定不移发展实体经济，是“晋江经验”最鲜明的特色。福建传承弘扬“晋江经验”，做大做强做优制造业，不断筑牢现代化经济体系的坚实基础。2021年，福建规模以上工业增加值同比增长9.9%，产值超千亿元的产业集群达21个。</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福建福光股份有限公司，企业的发明专利摆满了一面墙。“为建设世界最大口径的折射望远镜攻坚克难”，展厅里，一行标语十分醒目。</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十四五’时期我们国家再往前走，必须靠创新。随大流老跟着人家是不行的。现在就看谁能抢抓机遇，谁有这样的担当和使命感，谁有这样的能力做好。抓创新不问‘出身’，只要能为国家作出贡献，国家就会全力支持。谁能做好都是国家的功臣栋梁。”2021年3月24日，习近平总书记在考察福光公司时强调。</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总书记的话，让我们干劲更足了。”福光公司董事长何文波说。从一米级口径大视场折射式天文望远镜，到大口径折反射式10K超高清天文望远镜……一年多来，这家全球光学镜头重要制造商的“追光”脚步，不曾停歇。</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拿出两张火星高清照片，何文波一脸自豪地说：“‘天问一号’上搭载的多套光学系统及镜头，就是由福光提供。”</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2021年3月，习近平总书记在福建考察时提出，“在加快建设现代化经济体系上取得更大进步”。福建牢记嘱托，优平台、强主体、聚人才、活机制，加快实施创新驱动发展战略，加快先进制造业强省和创新型省份建设，推动经济体系优化升级。2021年，福建省高技术产业增加值增长26.4%，高新技术企业新增数量超过2400家。</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数字经济是构建现代化经济体系的重要引擎。早在2000年，习近平同志在福建工作时，就洞察信息科技发展趋势，作出了建设数字福建的部署。2021年3月，习近平总书记在福建考察时叮嘱：“优化提升产业结构，加快推动数字产业化、产业数字化”。</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北京冬奥会、冬残奥会上，数字人民币给运动员和观众带来别样的支付体验，吃、行、购、游等七大类场景应用，都有总部位于福州的新大陆科技集团有限公司深度参与。“目前，新大陆正积极配合中国人民银行数字货币研究所以及各大商业银行开展数字人民币试点开发工作。”集团首席执行官王晶说。</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上云、赋智、用数，福建迄今已有逾5万家企业上云上平台；2021年，福建省数字经济增加值达2.3万亿元，增长15%，约占全省地区生产总值的47%。</w:t>
      </w:r>
    </w:p>
    <w:p>
      <w:pPr>
        <w:tabs>
          <w:tab w:val="left" w:pos="1573"/>
        </w:tabs>
        <w:spacing w:line="420" w:lineRule="exact"/>
        <w:ind w:firstLine="482" w:firstLineChars="200"/>
        <w:jc w:val="left"/>
        <w:rPr>
          <w:rFonts w:asciiTheme="minorEastAsia" w:hAnsiTheme="minorEastAsia" w:cstheme="minorEastAsia"/>
          <w:b/>
          <w:bCs/>
          <w:sz w:val="24"/>
        </w:rPr>
      </w:pPr>
      <w:r>
        <w:rPr>
          <w:rFonts w:hint="eastAsia" w:asciiTheme="minorEastAsia" w:hAnsiTheme="minorEastAsia" w:cstheme="minorEastAsia"/>
          <w:b/>
          <w:bCs/>
          <w:sz w:val="24"/>
        </w:rPr>
        <w:t>百姓富——在创造高品质生活上实现更大突破</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雨后的赤溪村，白墙黛瓦，烟霭轻笼，别有韵致。</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6年多前，一场视频连线让这个闽东大山里的小山村沸腾了。2016年2月19日，习近平总书记来到人民网演播室，通过视频同人民日报记者连线，同福建宁德市赤溪村村民交流。总书记向乡亲们问好，叮嘱他们保护好绿水青山，走出一条绿色发展、生态富民的路子。</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白茶、旅游、菌菇，眼下赤溪村的生态富民之路，越走越宽。“脱贫以后，我们想把更多乡村振兴的喜讯报告给总书记！”赤溪村党总支书记吴贻国说，去年全村人均可支配收入达到3.22万元。</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2014年11月，习近平总书记在福建调研时指出，福建山区多、老区多，当年苏区老区人民为了革命和新中国的成立不惜流血牺牲，今天这些地区有的还比较贫困，要通过领导联系、山海协作、对口帮扶，加快科学扶贫和精准扶贫，办好教育、就业、医疗、社会保障等民生实事，支持和帮助贫困地区和贫困群众尽快脱贫致富奔小康，决不能让一个苏区老区掉队。</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福建发扬弱鸟先飞、滴水穿石精神，下大气力抓摆脱贫困，同全国一道，彻底消除了绝对贫困。</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初夏时节，走进革命老区村——沙县区夏茂镇俞邦村小吃街，浓浓烟火气迎面而来，各地游客品尝着美味可口的沙县小吃。</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2021年3月23日，俞邦村村民们现场聆听了总书记催人奋进的话语：“沙县人走南闯北，把沙县小吃打造成了富民特色产业。乡村要振兴，因地制宜选择富民产业是关键。要抓住机遇、开阔眼界，适应市场需求，继续探索创新，在创造美好生活新征程上再领风骚。”</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一年多来，俞邦村发展态势喜人：沙县小吃迈向标准化、产业化，小吃街成了网红地，老民宅成了新民宿，文旅融合红红火火……71岁的小吃业主俞和传说：“当年做小吃，俞邦村走在前头；如今创造美好生活新征程，我们还要‘再领风骚’！”</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沙县小吃已发展成为造福沙县老区群众的大产业，年营业额约500亿元，辐射带动就业30万余人。</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社区虽小，但连着千家万户。2014年11月，习近平总书记走进福州市鼓楼区军门社区。总书记指出，社区的党组织和党员干部天天同居民群众打交道，要多想想如何让群众生活和办事更方便一些，如何让群众表达诉求的渠道更畅通一些，如何让群众感觉更平安、更幸福一些，真正使千家万户切身感受到党和政府的温暖。</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三个如何”的殷殷嘱托，深深印在军门社区党委书记林丹心中。多年来，军门社区以党建为引领，不断创新社区治理模式，让居民群众更方便、更平安、更幸福。自主探索的军门社区“13335”工作法被民政部全国推广。</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牢记总书记在福建考察时提出的“在创造高品质生活上实现更大突破”的重要指示要求，福建坚持以人民为中心的发展思想，切实保障和改善民生：建设健康福建，三明医改经验在全国推广；每年全省财政支出七成以上投向民生领域……2021年，福建城乡居民人均可支配收入分别增长8.4%、11.2%，城乡居民人均可支配收入比值为2.20，比上年缩小0.06。</w:t>
      </w:r>
    </w:p>
    <w:p>
      <w:pPr>
        <w:tabs>
          <w:tab w:val="left" w:pos="1573"/>
        </w:tabs>
        <w:spacing w:line="420" w:lineRule="exact"/>
        <w:ind w:firstLine="482" w:firstLineChars="200"/>
        <w:jc w:val="left"/>
        <w:rPr>
          <w:rFonts w:asciiTheme="minorEastAsia" w:hAnsiTheme="minorEastAsia" w:cstheme="minorEastAsia"/>
          <w:b/>
          <w:bCs/>
          <w:sz w:val="24"/>
        </w:rPr>
      </w:pPr>
      <w:r>
        <w:rPr>
          <w:rFonts w:hint="eastAsia" w:asciiTheme="minorEastAsia" w:hAnsiTheme="minorEastAsia" w:cstheme="minorEastAsia"/>
          <w:b/>
          <w:bCs/>
          <w:sz w:val="24"/>
        </w:rPr>
        <w:t>生态美——让绿水青山永远成为福建的骄傲</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武夷山国家公园智慧管理中心，蓝色智慧大屏上，实时汇总着国家公园各类监测数据。工作人员范志伟坐在操作台前轻点鼠标，黄腹角雉、黑熊、白鹇、红豆杉等动植物，不时出现在巡护镜头里。</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2021年3月22日，习近平总书记来到这里，通过大屏幕察看浩渺的“绿色海洋”。总书记指出，建立以国家公园为主体的自然保护地体系，目的就是按照山水林田湖草是一个生命共同体的理念，保持自然生态系统的原真性和完整性，保护生物多样性。</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试点国家公园体制以来，在“天地空”全方位、全天候监测管理下，武夷山的物种“大家庭”不断增添新成员。“今年初，生物资源本底调查阶段性成果对外公布，又有武夷林蛙等6个新种被首次发现。”范志伟说。</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生态，习近平总书记称为“我最看重的事情之一”。1997年，习近平同志到三明常口村调研时就曾指出：“青山绿水是无价之宝，山区要画好‘山水画’，做好山水田文章。”2000年，习近平同志前瞻性率先提出了建设生态省战略构想。随后，福建生态省建设领导小组成立，习近平同志担任领导小组组长。</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一张蓝图绘到底，持续落实生态省建设战略，“清新福建”成为亮丽名片。“十三五”时期，福建设区城市空气优良天数比例达到98.8%，主要流域优良水质比例达到97.9%。目前，福建的森林覆盖率达到66.8%，已连续多年领跑全国。</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“这些年，福建更加郁郁葱葱了。绿色是福建一张亮丽名片。要接续努力，让绿水青山永远成为福建的骄傲。”习近平总书记2021年3月在福建考察时说。</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今年5月26日，龙岩市长汀县濯田镇莲湖村，连日雨水让村民马雪梅有些坐不住。到脐橙地里一转，她悬着的心落了地：“雨水都往土里渗，再不是跑土、跑水、跑肥的老样子。”</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长汀，曾是我国南方红壤区水土流失最严重的地区之一。习近平同志曾先后5次赴长汀调研、多次作出指示批示，亲自关心、指导和推动长汀水土流失治理工作。2021年3月，习近平总书记在福建考察时再次提及长汀：“我给大家讲，给生态投了钱，看似不像开发建设一样养鸡生蛋，但这件事必须抓。抓到最后却是养了金鸡、生了金蛋。”</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“滴水穿石，人一我十”，“进则全胜，不进则退”……坚持党的领导，一任接着一任干，久久为功，绿满荒山写传奇，长汀水土流失治理成为全球生态修复典型。</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人不负青山，青山定不负人。山坳里，马雪梅家7000多棵脐橙树苗已有半米高，预计明年挂果。她算了笔账，“单靠脐橙树，一年能赚70万元。”</w:t>
      </w:r>
    </w:p>
    <w:p>
      <w:pPr>
        <w:tabs>
          <w:tab w:val="left" w:pos="1573"/>
        </w:tabs>
        <w:spacing w:line="4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作为全国首个国家生态文明试验区，福建先行先试、大胆探索，基本构建起产权清晰、多元参与、激励约束并重、系统完整的生态文明制度体系，39项改革举措和经验做法向全国复制推广。</w:t>
      </w:r>
    </w:p>
    <w:p>
      <w:pPr>
        <w:tabs>
          <w:tab w:val="left" w:pos="1573"/>
        </w:tabs>
        <w:spacing w:line="420" w:lineRule="exact"/>
        <w:ind w:firstLine="480" w:firstLineChars="200"/>
        <w:jc w:val="left"/>
        <w:rPr>
          <w:rFonts w:asciiTheme="minorEastAsia" w:hAnsiTheme="minorEastAsia" w:cstheme="minorEastAsia"/>
          <w:sz w:val="24"/>
        </w:rPr>
        <w:sectPr>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sz w:val="24"/>
        </w:rPr>
        <w:t>“习近平总书记对福建工作的一系列重要指示要求，思想上一以贯之、目标上与时俱进、要求上递进深化，整体构成福建发展的总遵循、总纲领、总蓝图。我们必须全面、准确、系统地一体学习贯彻，确保党中央各项决策部署在福建落地生根、开花结果。”福建省委主要负责同志表示。</w:t>
      </w:r>
    </w:p>
    <w:p>
      <w:pPr>
        <w:spacing w:line="420" w:lineRule="exact"/>
        <w:ind w:firstLine="562" w:firstLineChars="200"/>
        <w:jc w:val="center"/>
        <w:outlineLvl w:val="0"/>
        <w:rPr>
          <w:rFonts w:asciiTheme="majorEastAsia" w:hAnsiTheme="majorEastAsia" w:eastAsiaTheme="majorEastAsia" w:cstheme="majorEastAsia"/>
          <w:b/>
          <w:bCs/>
          <w:sz w:val="28"/>
          <w:szCs w:val="28"/>
        </w:rPr>
      </w:pPr>
      <w:bookmarkStart w:id="9" w:name="_Toc114412795"/>
      <w:bookmarkStart w:id="10" w:name="_Hlk114412497"/>
      <w:r>
        <w:rPr>
          <w:rFonts w:hint="eastAsia" w:asciiTheme="majorEastAsia" w:hAnsiTheme="majorEastAsia" w:eastAsiaTheme="majorEastAsia" w:cstheme="majorEastAsia"/>
          <w:b/>
          <w:bCs/>
          <w:sz w:val="28"/>
          <w:szCs w:val="28"/>
        </w:rPr>
        <w:t>在不断创新中彰显真理力量——学习《习近平谈治国理政》第四卷</w:t>
      </w:r>
      <w:bookmarkEnd w:id="9"/>
    </w:p>
    <w:p>
      <w:pPr>
        <w:tabs>
          <w:tab w:val="left" w:pos="1573"/>
        </w:tabs>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来源：人民日报</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cs="Arial" w:asciiTheme="majorEastAsia" w:hAnsiTheme="majorEastAsia" w:eastAsiaTheme="majorEastAsia"/>
          <w:color w:val="222222"/>
          <w:kern w:val="0"/>
          <w:sz w:val="24"/>
        </w:rPr>
        <w:t>理论的生命力在于不断创新。《习近平谈治国理政》第四卷收入了习近平总书记在2020年2月3日至2022年5月10日期间的讲话、谈话、演讲、致辞、指示、贺信等，集中展现了马克思主义中国化的最新成果，是系统反映习近平新时代中国特色社会主义思想的权威著作。</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cs="Arial" w:asciiTheme="majorEastAsia" w:hAnsiTheme="majorEastAsia" w:eastAsiaTheme="majorEastAsia"/>
          <w:color w:val="222222"/>
          <w:kern w:val="0"/>
          <w:sz w:val="24"/>
        </w:rPr>
        <w:t>在学习过程中，我们既要将《习近平谈治国理政》第四卷与第一卷、第二卷、第三卷作为一个整体贯通起来，全面系统地读原著学原文、悟原理知原义，又要重点关注第四卷提出的一系列原创性的治国理政新理念新思想新战略，进一步加深对中国之路、中国之治、中国之理的理解，深刻体悟这一思想强大的真理力量。</w:t>
      </w:r>
    </w:p>
    <w:p>
      <w:pPr>
        <w:widowControl/>
        <w:shd w:val="clear" w:color="auto" w:fill="FFFFFF"/>
        <w:spacing w:line="420" w:lineRule="exact"/>
        <w:ind w:firstLine="482" w:firstLineChars="200"/>
        <w:jc w:val="left"/>
        <w:rPr>
          <w:rFonts w:cs="Arial" w:asciiTheme="majorEastAsia" w:hAnsiTheme="majorEastAsia" w:eastAsiaTheme="majorEastAsia"/>
          <w:color w:val="222222"/>
          <w:kern w:val="0"/>
          <w:sz w:val="24"/>
        </w:rPr>
      </w:pPr>
      <w:r>
        <w:rPr>
          <w:rFonts w:cs="Arial" w:asciiTheme="majorEastAsia" w:hAnsiTheme="majorEastAsia" w:eastAsiaTheme="majorEastAsia"/>
          <w:b/>
          <w:bCs/>
          <w:color w:val="333333"/>
          <w:kern w:val="0"/>
          <w:sz w:val="24"/>
        </w:rPr>
        <w:t>一脉相承回答时代课题</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cs="Arial" w:asciiTheme="majorEastAsia" w:hAnsiTheme="majorEastAsia" w:eastAsiaTheme="majorEastAsia"/>
          <w:color w:val="222222"/>
          <w:kern w:val="0"/>
          <w:sz w:val="24"/>
        </w:rPr>
        <w:t>《习近平谈治国理政》第一卷至第四卷作为一个整体，紧紧围绕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进行深邃思考、科学判断和深刻回答。</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cs="Arial" w:asciiTheme="majorEastAsia" w:hAnsiTheme="majorEastAsia" w:eastAsiaTheme="majorEastAsia"/>
          <w:color w:val="222222"/>
          <w:kern w:val="0"/>
          <w:sz w:val="24"/>
        </w:rPr>
        <w:t>一以贯之坚持和发展中国特色社会主义。方向问题至关重要，事关党的前途命运和事业兴衰成败。始终坚持中国特色社会主义正确方向，是历史的结论、人民的选择。《习近平谈治国理政》第一卷以“坚持和发展中国特色社会主义”为首个专题，第二卷以“坚持和发展中国特色社会主义，实现中华民族伟大复兴的中国梦”为首个专题，第三卷以党的十九大报告开篇、以“谱写新时代中国特色社会主义新篇章”为首个专题，第四卷以“掌握历史主动，在新时代更好坚持和发展中国特色社会主义”为首个专题，一脉相承回答新时代坚持和发展什么样的中国特色社会主义、怎样坚持和发展中国特色社会主义的时代课题，传递出坚持和发展中国特色社会主义的坚定信念和强大定力。</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cs="Arial" w:asciiTheme="majorEastAsia" w:hAnsiTheme="majorEastAsia" w:eastAsiaTheme="majorEastAsia"/>
          <w:color w:val="222222"/>
          <w:kern w:val="0"/>
          <w:sz w:val="24"/>
        </w:rPr>
        <w:t>坚定不移建设社会主义现代化强国。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习近平谈治国理政》第一卷的“实现中华民族伟大复兴的中国梦”等专题，第二卷的“坚持和发展中国特色社会主义，实现中华民族伟大复兴的中国梦”等专题，第三卷的“谱写新时代中国特色社会主义新篇章”等专题，第四卷的“全面建成小康社会，开启全面建设社会主义现代化国家新征程”等专题，一脉相承回答建设什么样的社会主义现代化强国、怎样建设社会主义现代化强国的时代课题，体现了我们党推进社会主义现代化建设的历史主动和历史自觉。</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cs="Arial" w:asciiTheme="majorEastAsia" w:hAnsiTheme="majorEastAsia" w:eastAsiaTheme="majorEastAsia"/>
          <w:color w:val="222222"/>
          <w:kern w:val="0"/>
          <w:sz w:val="24"/>
        </w:rPr>
        <w:t>毫不动摇坚持党的全面领导。中国共产党是我们事业的领导核心力量，党的全面领导制度在我国国家制度和国家治理体系中处于统领地位。《习近平谈治国理政》第一卷主要在“密切党同人民群众联系”“提高党的领导水平”等专题，第二卷主要在“推动全面从严治党向纵深发展”等专题，第三卷主要在“坚持和加强党的全面领导”“不忘初心、牢记使命，把党的自我革命推向深入”等专题，第四卷主要在“坚持党的全面领导”“以伟大自我革命引领伟大社会革命”等专题，一脉相承回答建设什么样的长期执政的马克思主义政党、怎样建设长期执政的马克思主义政党的时代课题，彰显了加强党的全面领导是夺取新时代中国特色社会主义伟大胜利的根本保证。</w:t>
      </w:r>
    </w:p>
    <w:p>
      <w:pPr>
        <w:widowControl/>
        <w:shd w:val="clear" w:color="auto" w:fill="FFFFFF"/>
        <w:spacing w:line="420" w:lineRule="exact"/>
        <w:ind w:firstLine="482" w:firstLineChars="200"/>
        <w:jc w:val="left"/>
        <w:rPr>
          <w:rFonts w:cs="Arial" w:asciiTheme="majorEastAsia" w:hAnsiTheme="majorEastAsia" w:eastAsiaTheme="majorEastAsia"/>
          <w:color w:val="222222"/>
          <w:kern w:val="0"/>
          <w:sz w:val="24"/>
        </w:rPr>
      </w:pPr>
      <w:r>
        <w:rPr>
          <w:rFonts w:cs="Arial" w:asciiTheme="majorEastAsia" w:hAnsiTheme="majorEastAsia" w:eastAsiaTheme="majorEastAsia"/>
          <w:b/>
          <w:bCs/>
          <w:color w:val="333333"/>
          <w:kern w:val="0"/>
          <w:sz w:val="24"/>
        </w:rPr>
        <w:t>与时俱进指导新的实践</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cs="Arial" w:asciiTheme="majorEastAsia" w:hAnsiTheme="majorEastAsia" w:eastAsiaTheme="majorEastAsia"/>
          <w:color w:val="222222"/>
          <w:kern w:val="0"/>
          <w:sz w:val="24"/>
        </w:rPr>
        <w:t>以习近平同志为核心的党中央勇于结合新的实践不断推进理论创新，善于用新的理论指导新的实践。深入学习《习近平谈治国理政》第四卷，我们更深切地感受到，习近平新时代中国特色社会主义思想在应变局、开新局的伟大实践中与时俱进地丰富发展，展现出更强大、更有说服力的真理力量和实践伟力。</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cs="Arial" w:asciiTheme="majorEastAsia" w:hAnsiTheme="majorEastAsia" w:eastAsiaTheme="majorEastAsia"/>
          <w:color w:val="222222"/>
          <w:kern w:val="0"/>
          <w:sz w:val="24"/>
        </w:rPr>
        <w:t>面对百年变局和世纪疫情相互叠加、世界进入新的动荡变革期的复杂局面，面对世所罕见、史所罕见的风险挑战，我们党带领中国人民坚持系统观念，更加注重对各领域发展的前瞻性思考、全局性谋划、战略性布局、整体性推进，形成与时俱进的理论成果。《习近平谈治国理政》第四卷更加注重统筹国内国际两个大局、统筹疫情防控和经济社会发展、统筹发展和安全，体现时代性、应变性、实践性的要求和特点。</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cs="Arial" w:asciiTheme="majorEastAsia" w:hAnsiTheme="majorEastAsia" w:eastAsiaTheme="majorEastAsia"/>
          <w:color w:val="222222"/>
          <w:kern w:val="0"/>
          <w:sz w:val="24"/>
        </w:rPr>
        <w:t>统筹国内国际两个大局。党的十八大以来，我们党对于中华民族伟大复兴战略全局和世界百年未有之大变局的认识不断深化，强调统筹国内国际两个大局。《习近平谈治国理政》第四卷不仅在“弘扬全人类共同价值，推动构建人类命运共同体”“完善全球治理，践行真正的多边主义”“推动‘一带一路’建设高质量发展”等相关专题中继续深化细化统筹国内国际两个大局的举措，而且结合新发展阶段的新形势新任务新要求，提出加快构建以国内大循环为主体、国内国际双循环相互促进的新发展格局这一重大战略部署，充分体现了重塑我国国际合作和竞争新优势，不断在危机中育先机、于变局中开新局的时代性要求。</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cs="Arial" w:asciiTheme="majorEastAsia" w:hAnsiTheme="majorEastAsia" w:eastAsiaTheme="majorEastAsia"/>
          <w:color w:val="222222"/>
          <w:kern w:val="0"/>
          <w:sz w:val="24"/>
        </w:rPr>
        <w:t>统筹疫情防控和经济社会发展。2020年以来，面对突如其来的新冠肺炎疫情，我们党坚持人民至上、生命至上，统筹疫情防控和经济社会发展，最大限度保护了人民生命安全和身体健康，取得了经济社会发展的重大成果。《习近平谈治国理政》第四卷在“统筹疫情防控和经济社会发展”专题中，对做好疫情防控重点工作、全面加强党中央对疫情防控的集中统一领导特别是统筹推进疫情防控和经济社会发展工作、弘扬伟大抗疫精神等都进行了详细论述，在“以保障和改善民生为重点加强社会建设”专题中提出了“构建起强大的公共卫生体系”的要求，在“弘扬全人类共同价值，推动构建人类命运共同体”专题中提出“共同佑护各国人民生命和健康”。我们党科学统筹疫情防控和经济社会发展，充分彰显了中国共产党领导和中国特色社会主义制度的显著优势。</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cs="Arial" w:asciiTheme="majorEastAsia" w:hAnsiTheme="majorEastAsia" w:eastAsiaTheme="majorEastAsia"/>
          <w:color w:val="222222"/>
          <w:kern w:val="0"/>
          <w:sz w:val="24"/>
        </w:rPr>
        <w:t>统筹发展和安全。安全是发展的前提，发展是安全的保障。《习近平谈治国理政》第四卷在“统筹发展和安全”专题中，就“贯彻总体国家安全观，构建大安全格局”“把国家发展建立在更加安全、更为可靠的基础之上”等问题进行论述，甚至还细化到“粮食安全”“生物安全”等具体领域，并在“弘扬全人类共同价值，推动构建人类命运共同体”“完善全球治理，践行真正的多边主义”等专题中，就“共同维护世界和平安宁”“共创后疫情时代美好世界”等内容进行论述，旨在筑牢国家安全屏障，确保社会主义现代化事业顺利推进。我们党统筹发展和安全，坚持总体国家安全观，坚持底线思维，为我国实现更高质量、更有效率、更加公平、更可持续、更为安全的发展奠定重要基础。</w:t>
      </w:r>
    </w:p>
    <w:bookmarkEnd w:id="10"/>
    <w:p>
      <w:pPr>
        <w:spacing w:line="420" w:lineRule="exact"/>
        <w:ind w:firstLine="562" w:firstLineChars="200"/>
        <w:jc w:val="left"/>
        <w:outlineLvl w:val="0"/>
        <w:rPr>
          <w:rFonts w:asciiTheme="majorEastAsia" w:hAnsiTheme="majorEastAsia" w:eastAsiaTheme="majorEastAsia" w:cstheme="majorEastAsia"/>
          <w:b/>
          <w:bCs/>
          <w:sz w:val="28"/>
          <w:szCs w:val="28"/>
        </w:rPr>
        <w:sectPr>
          <w:pgSz w:w="11906" w:h="16838"/>
          <w:pgMar w:top="1440" w:right="1800" w:bottom="1440" w:left="1800" w:header="851" w:footer="992" w:gutter="0"/>
          <w:cols w:space="425" w:num="1"/>
          <w:docGrid w:type="lines" w:linePitch="312" w:charSpace="0"/>
        </w:sectPr>
      </w:pPr>
    </w:p>
    <w:p>
      <w:pPr>
        <w:spacing w:line="420" w:lineRule="exact"/>
        <w:ind w:firstLine="562" w:firstLineChars="200"/>
        <w:jc w:val="center"/>
        <w:outlineLvl w:val="0"/>
        <w:rPr>
          <w:rFonts w:asciiTheme="majorEastAsia" w:hAnsiTheme="majorEastAsia" w:eastAsiaTheme="majorEastAsia" w:cstheme="majorEastAsia"/>
          <w:b/>
          <w:bCs/>
          <w:sz w:val="28"/>
          <w:szCs w:val="28"/>
        </w:rPr>
      </w:pPr>
      <w:bookmarkStart w:id="11" w:name="_Toc114412796"/>
      <w:r>
        <w:rPr>
          <w:rFonts w:hint="eastAsia" w:asciiTheme="majorEastAsia" w:hAnsiTheme="majorEastAsia" w:eastAsiaTheme="majorEastAsia" w:cstheme="majorEastAsia"/>
          <w:b/>
          <w:bCs/>
          <w:sz w:val="28"/>
          <w:szCs w:val="28"/>
        </w:rPr>
        <w:t>做好新时代经济工作的根本遵循和行动指南——学好用好《习近平经济思想学习纲要》</w:t>
      </w:r>
      <w:bookmarkEnd w:id="11"/>
    </w:p>
    <w:p>
      <w:pPr>
        <w:tabs>
          <w:tab w:val="left" w:pos="1573"/>
        </w:tabs>
        <w:spacing w:line="420" w:lineRule="exact"/>
        <w:jc w:val="center"/>
        <w:rPr>
          <w:rFonts w:asciiTheme="minorEastAsia" w:hAnsiTheme="minorEastAsia" w:cstheme="minorEastAsia"/>
          <w:sz w:val="24"/>
        </w:rPr>
      </w:pPr>
      <w:r>
        <w:rPr>
          <w:rFonts w:hint="eastAsia" w:asciiTheme="minorEastAsia" w:hAnsiTheme="minorEastAsia" w:cstheme="minorEastAsia"/>
          <w:sz w:val="24"/>
        </w:rPr>
        <w:t>来源：中国经济网</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伟大时代孕育伟大理论，伟大理论引领伟大实践。党的十八大以来，以习近平同志为核心的党中央高瞻远瞩、统揽全局、把握大势，从实际出发，提出一系列新理念新思想新战略，指导我国经济发展取得历史性成就、发生历史性变革，在实践中形成和发展了习近平经济思想。习近平经济思想体系严整、内涵丰富、博大精深，是习近平新时代中国特色社会主义思想的重要组成部分，是新时代做好经济工作的根本遵循和行动指南。</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近日出版的由中央宣传部、国家发展改革委组织编写的《习近平经济思想学习纲要》（以下简称《纲要》），全面反映习近平新时代中国特色社会主义思想在经济领域的原创性贡献，系统阐释习近平经济思想的基本精神、基本内容、基本要求，是深入学习领会习近平经济思想的权威辅助读物。学好用好《纲要》，深刻理解习近平经济思想的核心要义、精神实质、丰富内涵、实践要求，努力掌握贯穿其中的马克思主义立场观点方法，对于正确把握新时代经济发展怎么看、怎么干等一系列重大理论和实践问题，具有重要意义。</w:t>
      </w:r>
    </w:p>
    <w:p>
      <w:pPr>
        <w:widowControl/>
        <w:shd w:val="clear" w:color="auto" w:fill="FFFFFF"/>
        <w:spacing w:line="420" w:lineRule="exact"/>
        <w:ind w:firstLine="482" w:firstLineChars="200"/>
        <w:jc w:val="left"/>
        <w:rPr>
          <w:rFonts w:cs="Arial" w:asciiTheme="majorEastAsia" w:hAnsiTheme="majorEastAsia" w:eastAsiaTheme="majorEastAsia"/>
          <w:b/>
          <w:bCs/>
          <w:color w:val="222222"/>
          <w:kern w:val="0"/>
          <w:sz w:val="24"/>
        </w:rPr>
      </w:pPr>
      <w:r>
        <w:rPr>
          <w:rFonts w:hint="eastAsia" w:cs="Arial" w:asciiTheme="majorEastAsia" w:hAnsiTheme="majorEastAsia" w:eastAsiaTheme="majorEastAsia"/>
          <w:b/>
          <w:bCs/>
          <w:color w:val="222222"/>
          <w:kern w:val="0"/>
          <w:sz w:val="24"/>
        </w:rPr>
        <w:t>一、领会精髓要义 练好学用习近平经济思想的基本功必修课</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（一）学习《纲要》，我们更加深刻领会习近平经济思想的实践伟力</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时代是思想之母，实践是理论之源。中国特色社会主义进入新时代，我国经济发展进入新常态，已由高速增长阶段转向高质量发展阶段，面临增长速度换挡期、结构调整阵痛期、前期刺激政策消化期“三期叠加”的复杂局面，传统发展模式难以为继，发展理念和发展方式亟须调整转变。同时，世界正发生广泛而深刻的变化，新机遇新挑战层出不穷。如何应对“成长的烦恼”、解决新矛盾新问题，如何提高发展质量效益、保持强劲发展动力，如何深入推进改革开放、夺取新时代中国特色社会主义伟大胜利，迫切需要新的解决方案、行动指南、前进指引。以习近平同志为核心的党中央，对新中国成立后特别是改革开放以来经济发展的实践成就和历史经验作出全面分析和系统总结，对关系新时代经济发展的一系列重大理论和实践问题进行深邃思考和科学研究，在继承和创新中国特色社会主义政治经济学的基础上，深入把握我国经济发展的基本规律、核心目标、重点任务，深刻回答了我国经济发展的时代之问、人民之问、历史之问。</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实践是检验真理的唯一标准。科学理论的价值就在于回答时代课题，推动实践发展。习近平经济思想在实践经验基础上提炼、升华而成，同时又在指导实践、推动实践中发挥出巨大威力。纵观党的十八大以来的“非凡十年”，以习近平同志为核心的党中央领航中国经济巨轮乘风破浪、行稳致远，在经济建设上交出了一份人民满意、世界瞩目、可以载入史册的答卷。特别是打赢脱贫攻坚战，近1亿农村贫困人口全部脱贫，创造了人类减贫史上的奇迹，在中华大地上全面建成小康社会，为促进共同富裕创造了条件。如同《纲要》指出的，“正是在习近平经济思想的科学指引下，我国经济建设取得重大成就，国内生产总值突破百万亿元大关，人均国内生产总值超过一万美元，国家经济实力、科技实力、综合国力跃上新台阶，我国经济发展平衡性、协调性、可持续性明显增强，迈上更高质量、更有效率、更加公平、更可持续、更为安全的发展之路”。</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（二）学习《纲要》，我们更加深刻领会习近平经济思想的博大精深</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习近平经济思想是中国共产党不懈探索社会主义经济发展道路形成的宝贵思想结晶，是马克思主义政治经济学在当代中国、21世纪世界的最新理论成果，是我国经济高质量发展、全面建设社会主义现代化国家的科学指南。</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纲要》以准确、凝练的语言归纳了习近平经济思想十三个方面的基本内容：加强党对经济工作的全面领导，是我国经济发展的根本保证；坚持以人民为中心的发展思想，是我国经济发展的根本立场；进入新发展阶段，是我国经济发展的历史方位；坚持新发展理念，是我国经济发展的指导原则；构建新发展格局，是我国经济发展的路径选择；推动高质量发展，是我国经济发展的鲜明主题；坚持和完善社会主义基本经济制度，是我国经济发展的制度基础；坚持问题导向部署实施国家重大发展战略，是我国经济发展的战略举措；坚持创新驱动发展，是我国经济发展的第一动力；大力发展制造业和实体经济，是我国经济发展的主要着力点；坚定不移全面扩大开放，是我国经济发展的重要法宝；统筹发展和安全，是我国经济发展的重要保障；坚持正确工作策略和方法，是做好经济工作的方法论。这十三个方面，相辅相成、融为一体，形成了严密的科学系统，既讲认识论（怎么看），又讲方法论（怎么干）；既生动展现了习近平总书记“我将无我，不负人民”的人民情怀和赤子之情，又充分彰显了习近平总书记深邃的历史眼光和宽广的世界胸怀；既深刻阐释了习近平总书记作为大党大国领袖的无畏担当精神和高度历史自觉自信，又全面展示了习近平总书记在治国安邦实践中所具有的大气魄、大视野、大格局、大智慧。</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（三）学习《纲要》，我们更加深刻领会习近平经济思想的原创性贡献</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习近平经济思想坚持用马克思主义政治经济学之“矢”射新时代中国经济发展之“的”，深刻回答了马克思主义经典作家没有讲过、我们的前人从未遇到过、西方经济理论始终无法解决的许多重大理论和现实问题，形成了一系列具有鲜明时代性和创造性的理论成果。</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纲要》高度概括了习近平经济思想所体现的党对经济发展规律，特别是社会主义经济建设规律的深刻洞见，为丰富发展马克思主义政治经济学作出重要原创性贡献：创造性地提出加强党对经济工作的全面领导的重大理论观点，创造性地提出坚持以人民为中心的发展思想，创造性地提出树立和坚持创新、协调、绿色、开放、共享的新发展理念，创造性地提出我国经济已由高速增长阶段转向高质量发展阶段的重大论断，创造性地提出推进完善社会主义市场经济体制的重要思想，创造性地提出供给侧结构性改革的重大方针，创造性地提出构建新发展格局的重大战略，创造性地提出推动经济全球化健康发展的重要思想。这些原创性贡献，谱写了马克思主义政治经济学新篇章，开拓了中国特色社会主义政治经济学新境界，突破了西方经济学的藩篱，推动了国际经济关系理论的重构；这些原创性贡献，是中国精神的时代精华，为社会主义现代化建设提供了精神力量；这些原创性贡献，饱含着对社会主义现代化建设乃至人类发展的重大问题的睿智思考和独特创见，为建设美好世界贡献了中国智慧。</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（四）学习《纲要》，我们更加深刻领会习近平经济思想的鲜明品格</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习近平经济思想具有广阔时代背景、深厚理论渊源和坚实实践基础，体现了理论与实践相结合、认识论和方法论相统一的鲜明特点。</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纲要》深刻总结了习近平经济思想所展现的理论品格：具有鲜明的科学性，为准确把握经济社会发展逻辑、推进社会主义经济建设提供了正确指引；具有鲜明的人民性，彰显了以人为本、人民至上的根本价值取向；具有鲜明的时代性，为新时代经济工作确立了战略坐标，提供了战略指引；具有鲜明的实践性，为破解发展难题、增强发展动力、厚植发展优势、推动我国经济高质量发展提供了行动指南；具有鲜明的开放性，科学继承马克思主义政治经济学和中国特色社会主义政治经济学的理论精髓，充分汲取中华优秀传统文化的养分精华，借鉴吸收世界各国经济发展经验和西方经济学有益成分，展现出强大的理论创新活力。习近平经济思想的科学性、人民性、时代性、实践性、开放性，既与马克思主义理论品格一脉相承，又与时俱进，是当代中国马克思主义、21世纪马克思主义强大生机活力的集中体现，充分彰显了新时代中国共产党人的理论创造力。</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（五）学习《纲要》，我们更加深刻领会习近平经济思想蕴含的科学思想方法</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经济工作是党和国家的中心工作，做好经济工作是党治国理政的重大任务。实现经济持续健康发展，不仅要有正确思想和政策，而且要有正确工作策略和方法。</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纲要》系统梳理了习近平经济思想所蕴含的科学思想方法：稳中求进工作总基调是我们治国理政的重要原则，也是做好经济工作的方法论，稳是主基调，要在坚持稳字当头、保持大局稳定的前提下谋进；系统观念是具有基础性的思想和工作方法，必须加强前瞻性思考、全局性谋划、战略性布局、整体性推进；坚持目标导向和问题导向相结合，以目标为着眼点，在统筹谋划、顶层设计上下功夫，以问题为着力点，在补短板、强弱项上持续用力；坚持集中精力办好自己的事，是把握发展机遇、应对各种风险挑战、赢得国际竞争主动的关键；坚持以钉钉子精神抓落实，稳扎稳打向前走，一张蓝图绘到底。这些科学的工作策略和方法，是基于对国内外复杂经济形势的深刻把握，是基于对社会主义经济建设实践的深刻总结，是基于对时代潮流的深刻洞察，是基于对人民群众期盼和需要的深刻体悟，对于我们提高攻坚克难、化解矛盾、驾驭复杂局面的本领能力和素质，做好新时代经济工作，具有重要的指导意义。</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（六）学习《纲要》，我们更加深刻领会习近平总书记真挚的人民情怀</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从陕北梁家河到河北正定，从福建到浙江，从上海到北京，习近平总书记自其上山下乡的知青岁月到从地方至中央的从政生涯，始终感知百姓冷暖，回应群众期盼，对人民一往情深；始终深深扎根人民，紧紧依靠人民，矢志造福人民。他反复强调，“江山就是人民、人民就是江山，打江山、守江山，守的是人民的心”。</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纲要》充分展示了习近平总书记深厚、真挚的人民情怀：把人民放在心中最高位置，始终坚持人民立场，坚持人民主体地位，虚心向人民学习，倾听人民呼声，汲取人民智慧，把人民拥护不拥护、赞成不赞成、高兴不高兴、答应不答应作为衡量一切工作得失的根本标准；始终坚持以人民为中心的发展思想，顺应人民群众对美好生活的向往，不断把为人民造福事业推向前进；在发展中保障和改善民生，让改革发展成果更多更公平惠及广大人民群众，用心用力用情解决好群众“急难愁盼”问题；坚定不移走共同富裕道路，把促进全体人民共同富裕作为为人民谋幸福的着力点。习近平总书记的人民情怀，彰显了中国共产党人的政治品格、光荣传统和优良作风，体现了人民领袖的崇高风范和强大人格魅力，蕴含着我们党不断从胜利走向胜利的成功密码。</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习近平经济思想蕴含着坚定理想信念、鲜明政治导向、深远战略思维、强烈历史担当、真挚人民情怀、科学思想方法，在社会主义经济建设的伟大实践中展现出强大的真理力量、独特的思想魅力、巨大的实践伟力。知之愈明，则行之愈笃。我们要自觉做习近平经济思想的坚定信仰者、忠实践行者、积极传播者。</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p>
    <w:p>
      <w:pPr>
        <w:widowControl/>
        <w:shd w:val="clear" w:color="auto" w:fill="FFFFFF"/>
        <w:spacing w:line="420" w:lineRule="exact"/>
        <w:ind w:firstLine="482" w:firstLineChars="200"/>
        <w:jc w:val="left"/>
        <w:rPr>
          <w:rFonts w:hint="eastAsia" w:cs="Arial" w:asciiTheme="majorEastAsia" w:hAnsiTheme="majorEastAsia" w:eastAsiaTheme="majorEastAsia"/>
          <w:b/>
          <w:bCs/>
          <w:color w:val="222222"/>
          <w:kern w:val="0"/>
          <w:sz w:val="24"/>
        </w:rPr>
      </w:pPr>
      <w:r>
        <w:rPr>
          <w:rFonts w:hint="eastAsia" w:cs="Arial" w:asciiTheme="majorEastAsia" w:hAnsiTheme="majorEastAsia" w:eastAsiaTheme="majorEastAsia"/>
          <w:b/>
          <w:bCs/>
          <w:color w:val="222222"/>
          <w:kern w:val="0"/>
          <w:sz w:val="24"/>
        </w:rPr>
        <w:t>二、聚焦主责主业 努力打造学习宣传习近平经济思想高地</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理论的价值在于指导实践，学习的目的全在于运用。学以致用、以用促学、用之见效，是经济日报社学习宣传贯彻习近平经济思想的重要方法和原则。作为党中央、国务院指导全国经济工作的重要舆论阵地，经济日报聚焦主责主业，积极宣传阐释习近平经济思想，及时跟踪报道全国各地各行各业践行习近平经济思想的鲜活案例和实践探索，生动呈现党的十八大以来我国经济社会发展取得的伟大成就，努力打造学习宣传习近平经济思想高地，已形成了理论、评论、深度调研报道为一体的习近平经济思想传播矩阵。</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首先，加强理论宣传阐释，积极推动习近平经济思想学理化研究。</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习近平经济思想是博大精深的科学体系，需要加强学理化研究。2021年7月起经济日报举办“习近平经济思想研究”征文活动，得到理论界广泛响应，在3个月内收到国内外来稿近千篇。经专家委员会评审，优中选优近50篇在经济日报头版和理论版集中刊发。其中，国内作者主要来自中央党校（国家行政学院）、中国社会科学院、中央经济工作部门，以及各省区市习近平新时代中国特色社会主义思想研究中心、高等院校、知名研究机构等；国外作者有英国皇家社会科学院的院士、俄罗斯科学院远东研究所的负责人、新加坡国立大学的知名学者。大家聚焦习近平经济思想的根本立场、科学内涵、逻辑架构、理论品格以及理论贡献、实践成就等，进行深入的学理化研究。文章发表后，学习强国、人民网、新华网等央媒网站大量转发，《新华文摘》等刊物广为转载。为吸引、集聚各方面力量，共同加强对习近平经济思想的学习研究、宣传贯彻，经济日报社组织编写“学思践悟习近平经济思想丛书”，并先后与广东省委宣传部、山东省委宣传部等联合主办习近平经济思想研讨会，组织召开“学思践悟习近平经济思想丛书”出版座谈会。专家学者们认为，经济日报搭建了一个权威且有影响力的理论宣传平台，对理论界深化习近平经济思想研究起到有力的推动作用。</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其次，健全评论工作机制，切实增强经济领域舆论引导影响力和权威性。</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面向新媒体时代的经济舆论场，经济日报的重要任务就是要守好舆论阵地，认真宣传党的路线、方针、政策，更好引导社会预期，唱响中国经济光明论。对此，经济日报社编委会明确提出，要集中资源做强做优评论，引领形成正确看待和引导经济问题的舆论共识。近两年来，由编委会成员、采编部门主任和骨干记者组成的评论委员会机制有效运转，进行舆情研判、选题策划、成效反馈、业务交流。在这一机制的统领下，目前已形成由编辑部文章、评论员文章、一版经济论坛“金观平”文章、记者个人专栏、时评版以及“头条热评”组成的评论方阵。这个机制的建立，有效促进采编队伍融合、优化内容生产流程，锻炼了一支第一时间关注舆论、参与舆论、引导舆论的评论员队伍。</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近年来，经济日报着力对重大经济政策、重大经济事件的信息收集与研判，利用央媒的资源和队伍优势及时跟进评论，不仅在“发布权”上做到全面、客观、准确，更在“解释权”上增强可信度和说服力。2021年1月15日刊发的《怎样从讲政治的高度做经济工作》，以习近平总书记重要讲话、中央方针政策、地方实践突破为主题，紧扣“国之大者”，明确提出要“关注党中央在关心什么、强调什么，学会从一般经济事务中发现政治问题，从倾向性、苗头性经济问题中发现政治端倪，从错综复杂的经济关系中把握政治逻辑”。这篇评论满足了经济战线工作者理论政策学习需求，刊发后引发热烈反响，不少读者反馈“权威”“解渴”。2021年8月，中央财经委员会第十次会议提出“在高质量发展中促进共同富裕”后，国内外高度关注，一些杂音噪音也同时出现，经济日报组织撰写系列评论员文章，对曲解误读“三次分配”予以纠偏，驳斥“三次分配”就是劫富济贫的错误论调，表明“确保三次分配在促进国家发展、提升人民福祉中充分发挥作用”的观点。评论在报网端平台一体刊发，阐释了中央决策部署，有力引导舆论，产生了很好的社会效果。</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目前，经济日报实现了“版版有评论”，采编人员也正在形成“人人写评论”的氛围。“经济日报评论”作为一个整体品牌，传播力和影响力越来越大，推动党和政府的声音更快、更有效地进入互联网舆论场，推动实现信息传播正向价值的最大化。</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再次，一线调研务实求精，深入报道各地践行习近平经济思想的生动实践和成功经验。</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习近平经济思想的鲜明实践特征、问题导向意识，为经济新闻报道打造了“富矿”。如何体现习近平经济思想在指导我们认识世界、改造世界过程中彰显出的巨大现实解释力和实践引领力？来自基层一线、反映客观实际的调查研究最有说服力。经济日报把深度调研报道作为提升“四力”（脚力、眼力、脑力、笔力）、真实反映各地区各领域生动实践的抓手，要求采编人员坚持实事求是，深入地方、企业、行业，用心真听、真看、真感受、真调研。短则一周，多则十多天，甚至一两个月，不搞清真实情况不罢休，不弄懂实际问题不收兵，以经得起历史、实践检验的调研结果，挖掘各地各领域重大变革性实践、突破性进展、标志性成就蕴含的理论逻辑、实践逻辑和思想逻辑。经济日报深度调研报道的一个突出特征，就是一刻也不偏离习近平经济思想这条鲜明主线，坚定不移贯彻新发展理念，推动经济高质量发展。</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目前，经济日报已形成“践行习近平经济思想调研行”“高质量发展产业调研”“牢记总书记的嘱托·企业调研记”三大类深度调研报道。地方调研，主要聚焦各地高质量发展、乡村振兴、科技创新、壮大实体经济等习近平总书记多次强调、尤为重视的主题；产业调研，集中追踪粮食问题、耕地问题、种子问题等习近平总书记特别牵挂、反复过问的话题；企业调研，也均是聚焦习近平总书记关心、关注且亲自考察调研过的企业。这些调研报道突出思想主线，充分展现习近平经济思想对经济全局的科学引领，对经济社会发展难点堵点的精准把握，对做好当前形势下经济工作的有力指导，成为习近平经济思想在各地区各领域生动实践的精彩注释。</w:t>
      </w:r>
    </w:p>
    <w:p>
      <w:pPr>
        <w:widowControl/>
        <w:shd w:val="clear" w:color="auto" w:fill="FFFFFF"/>
        <w:spacing w:line="420" w:lineRule="exact"/>
        <w:ind w:firstLine="480" w:firstLineChars="200"/>
        <w:jc w:val="left"/>
        <w:rPr>
          <w:rFonts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据统计，经济日报一年多来已刊发各类深度调研报道50多篇，重磅力作接续推出，生动反映地方、产业、企业如何以习近平经济思想为指导攻坚克难，如何把党的创新理论转化为开拓创新的能力本领，如何推动新发展理念落地生根取得成效，累计逾30亿次的全网传播量，受到各界广泛好评，也使人们对习近平经济思想彰显的实践伟力有了更直观感受，对其科学真理性、强大生命力有了更深刻认识。</w:t>
      </w:r>
    </w:p>
    <w:p>
      <w:pPr>
        <w:widowControl/>
        <w:shd w:val="clear" w:color="auto" w:fill="FFFFFF"/>
        <w:spacing w:line="420" w:lineRule="exact"/>
        <w:ind w:firstLine="482" w:firstLineChars="200"/>
        <w:jc w:val="left"/>
        <w:rPr>
          <w:rFonts w:cs="Arial" w:asciiTheme="majorEastAsia" w:hAnsiTheme="majorEastAsia" w:eastAsiaTheme="majorEastAsia"/>
          <w:b/>
          <w:bCs/>
          <w:color w:val="222222"/>
          <w:kern w:val="0"/>
          <w:sz w:val="24"/>
        </w:rPr>
      </w:pPr>
      <w:r>
        <w:rPr>
          <w:rFonts w:hint="eastAsia" w:cs="Arial" w:asciiTheme="majorEastAsia" w:hAnsiTheme="majorEastAsia" w:eastAsiaTheme="majorEastAsia"/>
          <w:b/>
          <w:bCs/>
          <w:color w:val="222222"/>
          <w:kern w:val="0"/>
          <w:sz w:val="24"/>
        </w:rPr>
        <w:t>三、勇于担当使命 开创各项事业高质量发展新局面</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百年未有之大变局是世界之变、时代之变、历史之变，眼下正在进入加速演变期，形势错综复杂。我国经济呈现持续向好势头，但疫情变化和外部环境仍存在诸多不确定性，经济恢复基础尚不牢固。对此，我们要从讲政治的高度做好经济工作，善于用政治眼光观察和分析经济社会问题，做好开顶风船的思想准备和工作准备，这就要求我们进一步加强理论武装，坚持把深入学习贯彻习近平新时代中国特色社会主义思想这个首要政治任务落实落细落常，用好习近平经济思想这个做好经济工作的“金钥匙”，在“学思用贯通、知信行统一”中着力做强评论理论、深度报道，提高舆论引导水平，推动经济日报社各项事业再上新台阶。</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一是始终坚持政治家办报原则，把牢政治方向。作为党的新闻舆论工作者，必须旗帜鲜明讲政治，切实增强“四个意识”、坚定“四个自信”、做到“两个维护”，深刻认识“两个确立”的决定性意义，自觉在思想上政治上行动上同以习近平同志为核心的党中央保持高度一致，不断提高政治判断力、政治领悟力、政治执行力，始终坚持正确的政治方向、舆论导向、价值取向。只有在做大做强主流思想舆论阵地上发挥更大作用，更加有力服务党和国家工作大局，经济日报才能不负党中央的信任与重托。只有切实发挥好经济领域舆论引导压舱石作用，经济日报才能夯实发展壮大之基。</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二是努力打造学习宣传习近平经济思想高地，推动理论强报。习近平经济思想博大精深，为我们做好经济领域新闻舆论工作提供了强大思想武器和不竭动力源泉。我们要把继续建设“学习宣传习近平经济思想高地”作为重大政治任务，精心做好习近平经济思想的宣传阐释，启动2022年度“学思践悟习近平经济思想”征文活动，筹办以学习贯彻习近平经济思想为主题的高层次、高水平理论研讨活动，全方位、多角度阐释习近平经济思想丰富内涵、核心要义、实践要求，擦亮经济日报“组织推动习近平经济思想学理化研究高端平台”的品牌。</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三是及时报道各地各部门各行业践行习近平经济思想的生动实践和鲜活经验，推动深度立报。我们将一如既往聚焦主责主业，认真学习宣传贯彻习近平经济思想，宣传解读好中央大政方针和决策部署，组织好主题宣传和成就报道，开展好形势宣传和舆论引导；强化评论委员会作用，持续加强言论评论工作，针对经济领域热点难点焦点问题，做到及时回应、有效引导；坚持深度调研不放松，编委会带头蹲点调研，深入总结各地区各部门、各行业各战线践行习近平经济思想的生动实践和鲜活经验；加强外宣和国际传播，积极宣传习近平总书记大党大国领袖风采，宣传中国现代化建设取得的巨大成就；在解析经济现象、把脉经济走势等各类新闻报道上，更加突出经济特色，增强亲和力、感染力和说服力，从总体上做优做强经济新闻舆论工作。</w:t>
      </w:r>
    </w:p>
    <w:p>
      <w:pPr>
        <w:widowControl/>
        <w:shd w:val="clear" w:color="auto" w:fill="FFFFFF"/>
        <w:spacing w:line="420" w:lineRule="exact"/>
        <w:ind w:firstLine="480" w:firstLineChars="200"/>
        <w:jc w:val="left"/>
        <w:rPr>
          <w:rFonts w:hint="eastAsia" w:cs="Arial" w:asciiTheme="majorEastAsia" w:hAnsiTheme="majorEastAsia" w:eastAsiaTheme="majorEastAsia"/>
          <w:color w:val="222222"/>
          <w:kern w:val="0"/>
          <w:sz w:val="24"/>
        </w:rPr>
      </w:pPr>
      <w:r>
        <w:rPr>
          <w:rFonts w:hint="eastAsia" w:cs="Arial" w:asciiTheme="majorEastAsia" w:hAnsiTheme="majorEastAsia" w:eastAsiaTheme="majorEastAsia"/>
          <w:color w:val="222222"/>
          <w:kern w:val="0"/>
          <w:sz w:val="24"/>
        </w:rPr>
        <w:t>身处波澜壮阔的新时代，经济日报社将坚定不移以习近平新时代中国特色社会主义思想为指导，深入贯彻党的十九大和十九届历次全会精神，以对党的新闻事业的忠诚和担当不懈奋斗，努力把经济日报建设成为有影响力的经济领域新型主流媒体，以扎实工作和优异成绩迎接党的二十大胜利召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444048"/>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jZDg0ZjYzOTk1NDVmZmI4YjBlZWRkOTk5YzMwNTMifQ=="/>
  </w:docVars>
  <w:rsids>
    <w:rsidRoot w:val="00490CF1"/>
    <w:rsid w:val="00006B21"/>
    <w:rsid w:val="00011199"/>
    <w:rsid w:val="0002260F"/>
    <w:rsid w:val="000256A7"/>
    <w:rsid w:val="000274BA"/>
    <w:rsid w:val="00031A4D"/>
    <w:rsid w:val="000338B2"/>
    <w:rsid w:val="00041166"/>
    <w:rsid w:val="0004777D"/>
    <w:rsid w:val="000619E2"/>
    <w:rsid w:val="00062717"/>
    <w:rsid w:val="000708CC"/>
    <w:rsid w:val="000870E1"/>
    <w:rsid w:val="000A4291"/>
    <w:rsid w:val="000A5708"/>
    <w:rsid w:val="000C27F0"/>
    <w:rsid w:val="000D4AE1"/>
    <w:rsid w:val="000D6347"/>
    <w:rsid w:val="000D7B97"/>
    <w:rsid w:val="000E3113"/>
    <w:rsid w:val="000E6CE2"/>
    <w:rsid w:val="0010636E"/>
    <w:rsid w:val="00107493"/>
    <w:rsid w:val="00137EEC"/>
    <w:rsid w:val="00152A2D"/>
    <w:rsid w:val="00154710"/>
    <w:rsid w:val="001704ED"/>
    <w:rsid w:val="00172E0C"/>
    <w:rsid w:val="00175F12"/>
    <w:rsid w:val="00180694"/>
    <w:rsid w:val="001855FC"/>
    <w:rsid w:val="001A2C98"/>
    <w:rsid w:val="001B2CD5"/>
    <w:rsid w:val="001B4673"/>
    <w:rsid w:val="001C65B6"/>
    <w:rsid w:val="001C66B2"/>
    <w:rsid w:val="001D25F3"/>
    <w:rsid w:val="001E07B6"/>
    <w:rsid w:val="001E2535"/>
    <w:rsid w:val="001E3B72"/>
    <w:rsid w:val="001E4DC9"/>
    <w:rsid w:val="001F44DE"/>
    <w:rsid w:val="001F765C"/>
    <w:rsid w:val="001F7CDF"/>
    <w:rsid w:val="00213D73"/>
    <w:rsid w:val="002141C4"/>
    <w:rsid w:val="00217F6C"/>
    <w:rsid w:val="002307B2"/>
    <w:rsid w:val="002316E2"/>
    <w:rsid w:val="002407E2"/>
    <w:rsid w:val="00246084"/>
    <w:rsid w:val="0025065F"/>
    <w:rsid w:val="00250A4B"/>
    <w:rsid w:val="00280D5E"/>
    <w:rsid w:val="002815D1"/>
    <w:rsid w:val="002A71C6"/>
    <w:rsid w:val="002B3DB5"/>
    <w:rsid w:val="002B78F4"/>
    <w:rsid w:val="002D2381"/>
    <w:rsid w:val="002D2955"/>
    <w:rsid w:val="002F03E6"/>
    <w:rsid w:val="002F0EF8"/>
    <w:rsid w:val="003022DD"/>
    <w:rsid w:val="0031247A"/>
    <w:rsid w:val="00312B85"/>
    <w:rsid w:val="00320A8D"/>
    <w:rsid w:val="00333648"/>
    <w:rsid w:val="003465BA"/>
    <w:rsid w:val="00364C9F"/>
    <w:rsid w:val="0036609A"/>
    <w:rsid w:val="003669BA"/>
    <w:rsid w:val="00367759"/>
    <w:rsid w:val="00372BE6"/>
    <w:rsid w:val="00374B5F"/>
    <w:rsid w:val="0037625E"/>
    <w:rsid w:val="00386F7F"/>
    <w:rsid w:val="00391405"/>
    <w:rsid w:val="00394D58"/>
    <w:rsid w:val="003A1C4D"/>
    <w:rsid w:val="003B183D"/>
    <w:rsid w:val="003C3944"/>
    <w:rsid w:val="003D0B3E"/>
    <w:rsid w:val="003E33AD"/>
    <w:rsid w:val="003F0C58"/>
    <w:rsid w:val="003F1535"/>
    <w:rsid w:val="003F2E74"/>
    <w:rsid w:val="003F599A"/>
    <w:rsid w:val="004056FE"/>
    <w:rsid w:val="004200CA"/>
    <w:rsid w:val="00426C54"/>
    <w:rsid w:val="004405EB"/>
    <w:rsid w:val="004425A8"/>
    <w:rsid w:val="00457835"/>
    <w:rsid w:val="0046529C"/>
    <w:rsid w:val="004664C3"/>
    <w:rsid w:val="00490CF1"/>
    <w:rsid w:val="004A3237"/>
    <w:rsid w:val="004B5EB1"/>
    <w:rsid w:val="004E7784"/>
    <w:rsid w:val="0050502C"/>
    <w:rsid w:val="00513329"/>
    <w:rsid w:val="00535314"/>
    <w:rsid w:val="00544E30"/>
    <w:rsid w:val="0059059C"/>
    <w:rsid w:val="005A7EF8"/>
    <w:rsid w:val="005B1E8F"/>
    <w:rsid w:val="005B5536"/>
    <w:rsid w:val="005C143B"/>
    <w:rsid w:val="005E247D"/>
    <w:rsid w:val="005E4939"/>
    <w:rsid w:val="005E7AE6"/>
    <w:rsid w:val="005F553A"/>
    <w:rsid w:val="00626386"/>
    <w:rsid w:val="00627DB1"/>
    <w:rsid w:val="006343B6"/>
    <w:rsid w:val="006537F8"/>
    <w:rsid w:val="006650C4"/>
    <w:rsid w:val="00673545"/>
    <w:rsid w:val="006741BF"/>
    <w:rsid w:val="00676113"/>
    <w:rsid w:val="00695EAA"/>
    <w:rsid w:val="006B6014"/>
    <w:rsid w:val="006B7B44"/>
    <w:rsid w:val="006C1FC9"/>
    <w:rsid w:val="006C600B"/>
    <w:rsid w:val="006C7D6C"/>
    <w:rsid w:val="006D0E46"/>
    <w:rsid w:val="006D16E1"/>
    <w:rsid w:val="006D75C8"/>
    <w:rsid w:val="006E2DEC"/>
    <w:rsid w:val="006E369E"/>
    <w:rsid w:val="006F0321"/>
    <w:rsid w:val="006F6BBC"/>
    <w:rsid w:val="00710C1C"/>
    <w:rsid w:val="00716906"/>
    <w:rsid w:val="007360E5"/>
    <w:rsid w:val="00744348"/>
    <w:rsid w:val="007447D1"/>
    <w:rsid w:val="007566D2"/>
    <w:rsid w:val="00756949"/>
    <w:rsid w:val="00764595"/>
    <w:rsid w:val="00765A9C"/>
    <w:rsid w:val="00766186"/>
    <w:rsid w:val="00776FB5"/>
    <w:rsid w:val="00781CC2"/>
    <w:rsid w:val="00782903"/>
    <w:rsid w:val="00785117"/>
    <w:rsid w:val="007A2E34"/>
    <w:rsid w:val="007A5C9A"/>
    <w:rsid w:val="007A7611"/>
    <w:rsid w:val="007B1E89"/>
    <w:rsid w:val="007B2A23"/>
    <w:rsid w:val="007B4260"/>
    <w:rsid w:val="007C1A8F"/>
    <w:rsid w:val="007C35E0"/>
    <w:rsid w:val="007C60FA"/>
    <w:rsid w:val="007E361C"/>
    <w:rsid w:val="007E52E8"/>
    <w:rsid w:val="007F0400"/>
    <w:rsid w:val="00804A0A"/>
    <w:rsid w:val="00813101"/>
    <w:rsid w:val="008273BE"/>
    <w:rsid w:val="00850E1B"/>
    <w:rsid w:val="00867ED2"/>
    <w:rsid w:val="00871637"/>
    <w:rsid w:val="0087680C"/>
    <w:rsid w:val="00891F7C"/>
    <w:rsid w:val="00897091"/>
    <w:rsid w:val="008C0C67"/>
    <w:rsid w:val="008D10C5"/>
    <w:rsid w:val="008D31B7"/>
    <w:rsid w:val="008E2BFD"/>
    <w:rsid w:val="008F16F8"/>
    <w:rsid w:val="008F66FE"/>
    <w:rsid w:val="00910C7C"/>
    <w:rsid w:val="0091547A"/>
    <w:rsid w:val="009176E6"/>
    <w:rsid w:val="00917F91"/>
    <w:rsid w:val="00920A89"/>
    <w:rsid w:val="00922FA8"/>
    <w:rsid w:val="0093585A"/>
    <w:rsid w:val="0094131B"/>
    <w:rsid w:val="00961430"/>
    <w:rsid w:val="00975296"/>
    <w:rsid w:val="00975747"/>
    <w:rsid w:val="00983FEE"/>
    <w:rsid w:val="00996030"/>
    <w:rsid w:val="009979AE"/>
    <w:rsid w:val="009A2BB9"/>
    <w:rsid w:val="009A2C90"/>
    <w:rsid w:val="009B2BA0"/>
    <w:rsid w:val="009B5536"/>
    <w:rsid w:val="009B6949"/>
    <w:rsid w:val="009C1A12"/>
    <w:rsid w:val="009E4DC4"/>
    <w:rsid w:val="009F0E92"/>
    <w:rsid w:val="009F1543"/>
    <w:rsid w:val="00A04F7D"/>
    <w:rsid w:val="00A07287"/>
    <w:rsid w:val="00A471DF"/>
    <w:rsid w:val="00A522F3"/>
    <w:rsid w:val="00A545CE"/>
    <w:rsid w:val="00A56D02"/>
    <w:rsid w:val="00A60E9B"/>
    <w:rsid w:val="00A61B0C"/>
    <w:rsid w:val="00A732D9"/>
    <w:rsid w:val="00A73F00"/>
    <w:rsid w:val="00A7623F"/>
    <w:rsid w:val="00A828ED"/>
    <w:rsid w:val="00A97D96"/>
    <w:rsid w:val="00AC36AA"/>
    <w:rsid w:val="00AE6675"/>
    <w:rsid w:val="00B1748C"/>
    <w:rsid w:val="00B20A3C"/>
    <w:rsid w:val="00B25A49"/>
    <w:rsid w:val="00B46EFF"/>
    <w:rsid w:val="00B50383"/>
    <w:rsid w:val="00B52013"/>
    <w:rsid w:val="00B607BF"/>
    <w:rsid w:val="00B6381C"/>
    <w:rsid w:val="00BA4403"/>
    <w:rsid w:val="00BD063C"/>
    <w:rsid w:val="00BD3CC5"/>
    <w:rsid w:val="00BE5A2D"/>
    <w:rsid w:val="00C0438E"/>
    <w:rsid w:val="00C26924"/>
    <w:rsid w:val="00C322BB"/>
    <w:rsid w:val="00C36F62"/>
    <w:rsid w:val="00C47E8B"/>
    <w:rsid w:val="00C53801"/>
    <w:rsid w:val="00C7338C"/>
    <w:rsid w:val="00C77276"/>
    <w:rsid w:val="00C87C24"/>
    <w:rsid w:val="00CB5DE9"/>
    <w:rsid w:val="00CC3693"/>
    <w:rsid w:val="00CC56E2"/>
    <w:rsid w:val="00CD02DF"/>
    <w:rsid w:val="00CD080F"/>
    <w:rsid w:val="00CD44E9"/>
    <w:rsid w:val="00CE4FBA"/>
    <w:rsid w:val="00D21D23"/>
    <w:rsid w:val="00D22EE6"/>
    <w:rsid w:val="00D30BF4"/>
    <w:rsid w:val="00D32E6B"/>
    <w:rsid w:val="00D706E4"/>
    <w:rsid w:val="00D71C6E"/>
    <w:rsid w:val="00D90A72"/>
    <w:rsid w:val="00DA3D83"/>
    <w:rsid w:val="00DB404B"/>
    <w:rsid w:val="00DB6183"/>
    <w:rsid w:val="00DD0622"/>
    <w:rsid w:val="00DD0674"/>
    <w:rsid w:val="00E1557A"/>
    <w:rsid w:val="00E22898"/>
    <w:rsid w:val="00E51D75"/>
    <w:rsid w:val="00E6169C"/>
    <w:rsid w:val="00E679A2"/>
    <w:rsid w:val="00E736F5"/>
    <w:rsid w:val="00E768D4"/>
    <w:rsid w:val="00E82A14"/>
    <w:rsid w:val="00E866E3"/>
    <w:rsid w:val="00E94C4F"/>
    <w:rsid w:val="00E96EB8"/>
    <w:rsid w:val="00EA2A96"/>
    <w:rsid w:val="00EB4B39"/>
    <w:rsid w:val="00EC10BB"/>
    <w:rsid w:val="00ED0601"/>
    <w:rsid w:val="00ED1E92"/>
    <w:rsid w:val="00EE0D26"/>
    <w:rsid w:val="00EF5798"/>
    <w:rsid w:val="00F11CA2"/>
    <w:rsid w:val="00F15D88"/>
    <w:rsid w:val="00F33EB6"/>
    <w:rsid w:val="00F34B38"/>
    <w:rsid w:val="00F51E91"/>
    <w:rsid w:val="00F56CC5"/>
    <w:rsid w:val="00F56EED"/>
    <w:rsid w:val="00F602DE"/>
    <w:rsid w:val="00F65874"/>
    <w:rsid w:val="00F71F74"/>
    <w:rsid w:val="00F7377B"/>
    <w:rsid w:val="00F81DCB"/>
    <w:rsid w:val="00F8281D"/>
    <w:rsid w:val="00F908DC"/>
    <w:rsid w:val="00FC3D19"/>
    <w:rsid w:val="00FE1513"/>
    <w:rsid w:val="00FE1C4F"/>
    <w:rsid w:val="064B7E9C"/>
    <w:rsid w:val="0A2E53C8"/>
    <w:rsid w:val="168C5029"/>
    <w:rsid w:val="29D240CF"/>
    <w:rsid w:val="38E27D3F"/>
    <w:rsid w:val="3BD43870"/>
    <w:rsid w:val="3CC84038"/>
    <w:rsid w:val="3F336A15"/>
    <w:rsid w:val="49265D0C"/>
    <w:rsid w:val="5D090F90"/>
    <w:rsid w:val="5E315658"/>
    <w:rsid w:val="7A8B4A55"/>
    <w:rsid w:val="7CA3356D"/>
    <w:rsid w:val="7D5A1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line="420" w:lineRule="exact"/>
      <w:ind w:firstLine="562" w:firstLineChars="200"/>
      <w:jc w:val="center"/>
      <w:outlineLvl w:val="0"/>
    </w:pPr>
    <w:rPr>
      <w:rFonts w:asciiTheme="majorEastAsia" w:hAnsiTheme="majorEastAsia" w:eastAsiaTheme="majorEastAsia" w:cstheme="majorEastAsia"/>
      <w:b/>
      <w:bCs/>
      <w:sz w:val="28"/>
      <w:szCs w:val="28"/>
    </w:rPr>
  </w:style>
  <w:style w:type="paragraph" w:styleId="3">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2">
    <w:name w:val="Default Paragraph Font"/>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16"/>
    <w:qFormat/>
    <w:uiPriority w:val="0"/>
    <w:pPr>
      <w:spacing w:before="240" w:after="60"/>
      <w:jc w:val="center"/>
      <w:outlineLvl w:val="0"/>
    </w:pPr>
    <w:rPr>
      <w:rFonts w:asciiTheme="majorHAnsi" w:hAnsiTheme="majorHAnsi" w:eastAsiaTheme="majorEastAsia" w:cstheme="majorBidi"/>
      <w:b/>
      <w:bCs/>
      <w:sz w:val="32"/>
      <w:szCs w:val="32"/>
    </w:rPr>
  </w:style>
  <w:style w:type="character" w:styleId="13">
    <w:name w:val="Strong"/>
    <w:basedOn w:val="12"/>
    <w:qFormat/>
    <w:uiPriority w:val="0"/>
    <w:rPr>
      <w:b/>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paragraph" w:customStyle="1" w:styleId="15">
    <w:name w:val="TOC 标题1"/>
    <w:basedOn w:val="2"/>
    <w:next w:val="1"/>
    <w:unhideWhenUsed/>
    <w:qFormat/>
    <w:uiPriority w:val="39"/>
    <w:pPr>
      <w:keepNext/>
      <w:keepLines/>
      <w:widowControl/>
      <w:spacing w:before="240" w:line="259" w:lineRule="auto"/>
      <w:outlineLvl w:val="9"/>
    </w:pPr>
    <w:rPr>
      <w:rFonts w:asciiTheme="majorHAnsi" w:hAnsiTheme="majorHAnsi" w:cstheme="majorBidi"/>
      <w:b w:val="0"/>
      <w:color w:val="2E75B6" w:themeColor="accent1" w:themeShade="BF"/>
      <w:kern w:val="0"/>
      <w:sz w:val="32"/>
      <w:szCs w:val="32"/>
    </w:rPr>
  </w:style>
  <w:style w:type="character" w:customStyle="1" w:styleId="16">
    <w:name w:val="标题 字符"/>
    <w:basedOn w:val="12"/>
    <w:link w:val="10"/>
    <w:qFormat/>
    <w:uiPriority w:val="0"/>
    <w:rPr>
      <w:rFonts w:asciiTheme="majorHAnsi" w:hAnsiTheme="majorHAnsi" w:eastAsiaTheme="majorEastAsia" w:cstheme="majorBidi"/>
      <w:b/>
      <w:bCs/>
      <w:kern w:val="2"/>
      <w:sz w:val="32"/>
      <w:szCs w:val="32"/>
    </w:rPr>
  </w:style>
  <w:style w:type="character" w:customStyle="1" w:styleId="17">
    <w:name w:val="页眉 字符"/>
    <w:basedOn w:val="12"/>
    <w:link w:val="7"/>
    <w:qFormat/>
    <w:uiPriority w:val="99"/>
    <w:rPr>
      <w:rFonts w:asciiTheme="minorHAnsi" w:hAnsiTheme="minorHAnsi" w:eastAsiaTheme="minorEastAsia" w:cstheme="minorBidi"/>
      <w:kern w:val="2"/>
      <w:sz w:val="18"/>
      <w:szCs w:val="24"/>
    </w:rPr>
  </w:style>
  <w:style w:type="character" w:customStyle="1" w:styleId="18">
    <w:name w:val="页脚 字符"/>
    <w:basedOn w:val="12"/>
    <w:link w:val="6"/>
    <w:qFormat/>
    <w:uiPriority w:val="99"/>
    <w:rPr>
      <w:rFonts w:asciiTheme="minorHAnsi" w:hAnsiTheme="minorHAnsi" w:eastAsiaTheme="minorEastAsia" w:cstheme="minorBidi"/>
      <w:kern w:val="2"/>
      <w:sz w:val="18"/>
      <w:szCs w:val="24"/>
    </w:rPr>
  </w:style>
  <w:style w:type="character" w:customStyle="1" w:styleId="19">
    <w:name w:val="标题 2 字符"/>
    <w:basedOn w:val="12"/>
    <w:link w:val="3"/>
    <w:semiHidden/>
    <w:qFormat/>
    <w:uiPriority w:val="0"/>
    <w:rPr>
      <w:rFonts w:asciiTheme="majorHAnsi" w:hAnsiTheme="majorHAnsi" w:eastAsiaTheme="majorEastAsia" w:cstheme="majorBidi"/>
      <w:b/>
      <w:bCs/>
      <w:kern w:val="2"/>
      <w:sz w:val="32"/>
      <w:szCs w:val="32"/>
    </w:rPr>
  </w:style>
  <w:style w:type="character" w:customStyle="1" w:styleId="20">
    <w:name w:val="未处理的提及1"/>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50D5E-73BC-456A-BE07-5EB99F8E41A8}">
  <ds:schemaRefs/>
</ds:datastoreItem>
</file>

<file path=docProps/app.xml><?xml version="1.0" encoding="utf-8"?>
<Properties xmlns="http://schemas.openxmlformats.org/officeDocument/2006/extended-properties" xmlns:vt="http://schemas.openxmlformats.org/officeDocument/2006/docPropsVTypes">
  <Template>Normal</Template>
  <Pages>24</Pages>
  <Words>21015</Words>
  <Characters>21322</Characters>
  <Lines>155</Lines>
  <Paragraphs>43</Paragraphs>
  <TotalTime>114</TotalTime>
  <ScaleCrop>false</ScaleCrop>
  <LinksUpToDate>false</LinksUpToDate>
  <CharactersWithSpaces>21356</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2020-11-16T10:09:00Z</dcterms:created>
  <dc:creator>福州市民的小可爱</dc:creator>
  <cp:lastModifiedBy>WWY</cp:lastModifiedBy>
  <dcterms:modified xsi:type="dcterms:W3CDTF">2022-09-26T12:06:46Z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1CE965AD50ED4E5284C56D8B80A0EAE0</vt:lpwstr>
  </property>
</Properties>
</file>